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C469CC">
        <w:rPr>
          <w:sz w:val="19"/>
          <w:szCs w:val="19"/>
        </w:rPr>
        <w:t>I</w:t>
      </w:r>
      <w:r w:rsidR="0035169E" w:rsidRPr="00C469CC">
        <w:rPr>
          <w:sz w:val="19"/>
          <w:szCs w:val="19"/>
        </w:rPr>
        <w:t>SPROFOND</w:t>
      </w:r>
      <w:r w:rsidRPr="00C469CC">
        <w:rPr>
          <w:sz w:val="19"/>
          <w:szCs w:val="19"/>
        </w:rPr>
        <w:t>/</w:t>
      </w:r>
      <w:proofErr w:type="spellStart"/>
      <w:r w:rsidRPr="00C469CC">
        <w:rPr>
          <w:sz w:val="19"/>
          <w:szCs w:val="19"/>
        </w:rPr>
        <w:t>Sub.ISPROFIN</w:t>
      </w:r>
      <w:proofErr w:type="spellEnd"/>
      <w:r w:rsidR="00C6310B" w:rsidRPr="00C469CC">
        <w:rPr>
          <w:sz w:val="19"/>
          <w:szCs w:val="19"/>
        </w:rPr>
        <w:t>:</w:t>
      </w:r>
      <w:r w:rsidR="00BC00F0" w:rsidRPr="00C469CC">
        <w:rPr>
          <w:sz w:val="19"/>
          <w:szCs w:val="19"/>
        </w:rPr>
        <w:t xml:space="preserve"> </w:t>
      </w:r>
      <w:r w:rsidR="00C469CC" w:rsidRPr="00C469CC">
        <w:rPr>
          <w:sz w:val="19"/>
          <w:szCs w:val="19"/>
        </w:rPr>
        <w:t>3273214901 / 5513530007</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E1231A">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C469CC">
        <w:t>„</w:t>
      </w:r>
      <w:r w:rsidR="00C469CC" w:rsidRPr="00C469CC">
        <w:t>Zvýšení stability skalních masivů na trati Železný Brod – Tanvald</w:t>
      </w:r>
      <w:r w:rsidRPr="00C469CC">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proofErr w:type="gramStart"/>
      <w:r w:rsidR="00C02278" w:rsidRPr="00DA4104">
        <w:rPr>
          <w:rFonts w:ascii="Arial" w:hAnsi="Arial" w:cs="Arial"/>
          <w:sz w:val="19"/>
          <w:szCs w:val="19"/>
          <w:highlight w:val="yellow"/>
        </w:rPr>
        <w:t>…..</w:t>
      </w:r>
      <w:proofErr w:type="gramEnd"/>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7E6415" w:rsidRDefault="007E6415" w:rsidP="00EB5A7C">
      <w:pPr>
        <w:suppressAutoHyphens/>
        <w:ind w:left="1276" w:hanging="1276"/>
        <w:rPr>
          <w:rFonts w:ascii="Arial" w:hAnsi="Arial" w:cs="Arial"/>
          <w:sz w:val="19"/>
          <w:szCs w:val="19"/>
        </w:rPr>
      </w:pPr>
    </w:p>
    <w:p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7E6415" w:rsidRDefault="008D3408"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lastRenderedPageBreak/>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E96149" w:rsidRDefault="000B6F15" w:rsidP="00E96149">
      <w:pPr>
        <w:suppressAutoHyphens/>
        <w:spacing w:before="120"/>
        <w:ind w:left="540" w:hanging="540"/>
        <w:jc w:val="both"/>
        <w:rPr>
          <w:rFonts w:ascii="Arial" w:hAnsi="Arial" w:cs="Arial"/>
          <w:b/>
          <w:i/>
          <w:sz w:val="19"/>
          <w:szCs w:val="19"/>
          <w:highlight w:val="yellow"/>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010322" w:rsidRPr="005F3B88">
        <w:rPr>
          <w:rFonts w:ascii="Arial" w:hAnsi="Arial" w:cs="Arial"/>
          <w:b/>
          <w:sz w:val="19"/>
          <w:szCs w:val="19"/>
        </w:rPr>
        <w:t>s</w:t>
      </w:r>
      <w:r w:rsidR="00230849" w:rsidRPr="005F3B88">
        <w:rPr>
          <w:rFonts w:ascii="Arial" w:hAnsi="Arial" w:cs="Arial"/>
          <w:b/>
          <w:sz w:val="19"/>
          <w:szCs w:val="19"/>
        </w:rPr>
        <w:t>ouhrnného</w:t>
      </w:r>
      <w:r w:rsidR="00274FFF" w:rsidRPr="005F3B88">
        <w:rPr>
          <w:rFonts w:ascii="Arial" w:hAnsi="Arial" w:cs="Arial"/>
          <w:b/>
          <w:sz w:val="19"/>
          <w:szCs w:val="19"/>
        </w:rPr>
        <w:t xml:space="preserve"> rozpočt</w:t>
      </w:r>
      <w:r w:rsidR="00230849" w:rsidRPr="005F3B88">
        <w:rPr>
          <w:rFonts w:ascii="Arial" w:hAnsi="Arial" w:cs="Arial"/>
          <w:b/>
          <w:sz w:val="19"/>
          <w:szCs w:val="19"/>
        </w:rPr>
        <w:t>u</w:t>
      </w:r>
      <w:r w:rsidR="00BF6E2E" w:rsidRPr="005F3B88">
        <w:rPr>
          <w:rFonts w:ascii="Arial" w:hAnsi="Arial" w:cs="Arial"/>
          <w:sz w:val="19"/>
          <w:szCs w:val="19"/>
        </w:rPr>
        <w:t xml:space="preserve"> (dále </w:t>
      </w:r>
      <w:r w:rsidR="00274FFF" w:rsidRPr="005F3B88">
        <w:rPr>
          <w:rFonts w:ascii="Arial" w:hAnsi="Arial" w:cs="Arial"/>
          <w:sz w:val="19"/>
          <w:szCs w:val="19"/>
        </w:rPr>
        <w:t>jen „</w:t>
      </w:r>
      <w:r w:rsidR="00230849" w:rsidRPr="005F3B88">
        <w:rPr>
          <w:rFonts w:ascii="Arial" w:hAnsi="Arial" w:cs="Arial"/>
          <w:sz w:val="19"/>
          <w:szCs w:val="19"/>
        </w:rPr>
        <w:t>S</w:t>
      </w:r>
      <w:r w:rsidR="00274FFF" w:rsidRPr="005F3B88">
        <w:rPr>
          <w:rFonts w:ascii="Arial" w:hAnsi="Arial" w:cs="Arial"/>
          <w:sz w:val="19"/>
          <w:szCs w:val="19"/>
        </w:rPr>
        <w:t>R“)</w:t>
      </w:r>
      <w:r w:rsidR="00AC3560" w:rsidRPr="005F3B88">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E96149">
        <w:rPr>
          <w:rFonts w:ascii="Arial" w:hAnsi="Arial" w:cs="Arial"/>
          <w:b/>
          <w:sz w:val="19"/>
          <w:szCs w:val="19"/>
        </w:rPr>
        <w:t>„</w:t>
      </w:r>
      <w:r w:rsidR="00E96149" w:rsidRPr="001C2380">
        <w:rPr>
          <w:rFonts w:ascii="Arial" w:hAnsi="Arial" w:cs="Arial"/>
          <w:b/>
          <w:sz w:val="19"/>
          <w:szCs w:val="19"/>
        </w:rPr>
        <w:t>Zvýšení stability skalních masivů na trati Železný Brod – Tanvald</w:t>
      </w:r>
      <w:r w:rsidR="00CE4754" w:rsidRPr="001C2380">
        <w:rPr>
          <w:rFonts w:ascii="Arial" w:hAnsi="Arial" w:cs="Arial"/>
          <w:b/>
          <w:sz w:val="19"/>
          <w:szCs w:val="19"/>
        </w:rPr>
        <w:t>“</w:t>
      </w:r>
      <w:r w:rsidR="009B1BBB" w:rsidRPr="001C2380">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6F6938" w:rsidRPr="006F6938">
        <w:rPr>
          <w:rFonts w:ascii="Arial" w:hAnsi="Arial" w:cs="Arial"/>
          <w:bCs/>
          <w:sz w:val="19"/>
          <w:szCs w:val="19"/>
        </w:rPr>
        <w:t>29531/2021-SŽ-SSZ-OVZ</w:t>
      </w:r>
      <w:r w:rsidRPr="00DA4104">
        <w:rPr>
          <w:rFonts w:ascii="Arial" w:hAnsi="Arial" w:cs="Arial"/>
          <w:sz w:val="19"/>
          <w:szCs w:val="19"/>
        </w:rPr>
        <w:t xml:space="preserve"> ze dne </w:t>
      </w:r>
      <w:bookmarkStart w:id="0" w:name="_GoBack"/>
      <w:bookmarkEnd w:id="0"/>
      <w:r w:rsidR="008D3408">
        <w:rPr>
          <w:rFonts w:ascii="Arial" w:hAnsi="Arial" w:cs="Arial"/>
          <w:sz w:val="19"/>
          <w:szCs w:val="19"/>
        </w:rPr>
        <w:t>1. 10. 2021</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52743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w:t>
      </w:r>
      <w:r w:rsidRPr="00527432">
        <w:rPr>
          <w:rFonts w:ascii="Arial" w:hAnsi="Arial"/>
          <w:sz w:val="19"/>
          <w:szCs w:val="19"/>
        </w:rPr>
        <w:t>dopravní cesty, v platném znění</w:t>
      </w:r>
    </w:p>
    <w:p w:rsidR="00CB78AC" w:rsidRPr="0052743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27432">
        <w:rPr>
          <w:rFonts w:ascii="Arial" w:hAnsi="Arial" w:cs="Arial"/>
          <w:sz w:val="19"/>
          <w:szCs w:val="19"/>
        </w:rPr>
        <w:t>Směrnice GŘ č. 16/2005 Zásady modernizace a optimalizace vybrané železniční sítě Če</w:t>
      </w:r>
      <w:r w:rsidR="00527432" w:rsidRPr="00527432">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Pr="009677D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677D0">
        <w:rPr>
          <w:rFonts w:ascii="Arial" w:hAnsi="Arial" w:cs="Arial"/>
          <w:sz w:val="19"/>
          <w:szCs w:val="19"/>
        </w:rPr>
        <w:t>Vyhláška č. 146/2008 Sb., o rozsahu a obsahu projektové dokumentace dopravních staveb, v platném znění</w:t>
      </w:r>
    </w:p>
    <w:p w:rsidR="00CB78AC" w:rsidRPr="009677D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677D0">
        <w:rPr>
          <w:rFonts w:ascii="Arial" w:hAnsi="Arial" w:cs="Arial"/>
          <w:sz w:val="19"/>
          <w:szCs w:val="19"/>
        </w:rPr>
        <w:t>Technické kvalitativní podmínky staveb státních drah, v platném znění (dále jen „TKP  staveb“)</w:t>
      </w:r>
    </w:p>
    <w:p w:rsidR="00B5681D" w:rsidRPr="009677D0"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677D0">
        <w:rPr>
          <w:rFonts w:ascii="Arial" w:hAnsi="Arial" w:cs="Arial"/>
          <w:sz w:val="19"/>
          <w:szCs w:val="19"/>
        </w:rPr>
        <w:t>České technické normy a interní předpisy objednatele vyjmenované v příslušných kapitolách   TKP staveb a v Technických kvalitativních podmínkách staveb pozemních komunikací (dále také jen „TKP PK“</w:t>
      </w:r>
      <w:r w:rsidR="00743006" w:rsidRPr="009677D0">
        <w:rPr>
          <w:rFonts w:ascii="Arial" w:hAnsi="Arial" w:cs="Arial"/>
          <w:sz w:val="19"/>
          <w:szCs w:val="19"/>
        </w:rPr>
        <w:t>)</w:t>
      </w:r>
      <w:r w:rsidRPr="009677D0">
        <w:rPr>
          <w:rFonts w:ascii="Arial" w:hAnsi="Arial" w:cs="Arial"/>
          <w:sz w:val="19"/>
          <w:szCs w:val="19"/>
        </w:rPr>
        <w:t xml:space="preserve"> – přístupné na </w:t>
      </w:r>
      <w:hyperlink r:id="rId9" w:history="1">
        <w:r w:rsidRPr="009677D0">
          <w:rPr>
            <w:rFonts w:ascii="Arial" w:hAnsi="Arial" w:cs="Arial"/>
            <w:sz w:val="19"/>
            <w:szCs w:val="19"/>
          </w:rPr>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677D0">
        <w:rPr>
          <w:rFonts w:ascii="Arial" w:hAnsi="Arial" w:cs="Arial"/>
          <w:sz w:val="19"/>
          <w:szCs w:val="19"/>
        </w:rPr>
        <w:t>zákon</w:t>
      </w:r>
      <w:r w:rsidRPr="00687588">
        <w:rPr>
          <w:rFonts w:ascii="Arial" w:hAnsi="Arial" w:cs="Arial"/>
          <w:sz w:val="19"/>
          <w:szCs w:val="19"/>
        </w:rPr>
        <w:t xml:space="preserve">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875F2C"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75F2C">
        <w:rPr>
          <w:rFonts w:ascii="Arial" w:hAnsi="Arial" w:cs="Arial"/>
          <w:sz w:val="19"/>
          <w:szCs w:val="19"/>
        </w:rPr>
        <w:t>vyhlášk</w:t>
      </w:r>
      <w:r w:rsidR="00A4083D" w:rsidRPr="00875F2C">
        <w:rPr>
          <w:rFonts w:ascii="Arial" w:hAnsi="Arial" w:cs="Arial"/>
          <w:sz w:val="19"/>
          <w:szCs w:val="19"/>
        </w:rPr>
        <w:t>a</w:t>
      </w:r>
      <w:r w:rsidRPr="00875F2C">
        <w:rPr>
          <w:rFonts w:ascii="Arial" w:hAnsi="Arial" w:cs="Arial"/>
          <w:sz w:val="19"/>
          <w:szCs w:val="19"/>
        </w:rPr>
        <w:t xml:space="preserve"> č. 177/1995 Sb., kterou se vydává stavební a techn</w:t>
      </w:r>
      <w:r w:rsidR="00A4083D" w:rsidRPr="00875F2C">
        <w:rPr>
          <w:rFonts w:ascii="Arial" w:hAnsi="Arial" w:cs="Arial"/>
          <w:sz w:val="19"/>
          <w:szCs w:val="19"/>
        </w:rPr>
        <w:t>ický řád drah, v platném znění</w:t>
      </w:r>
    </w:p>
    <w:p w:rsidR="00A4083D" w:rsidRPr="00875F2C"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75F2C">
        <w:rPr>
          <w:rFonts w:ascii="Arial" w:hAnsi="Arial" w:cs="Arial"/>
          <w:sz w:val="19"/>
          <w:szCs w:val="19"/>
        </w:rPr>
        <w:t xml:space="preserve">zákon č. 183/2006 Sb., o územním plánování a stavebním řádu (stavební zákon), v platném znění </w:t>
      </w:r>
    </w:p>
    <w:p w:rsidR="00382ED7" w:rsidRPr="00875F2C"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75F2C">
        <w:rPr>
          <w:rFonts w:ascii="Arial" w:hAnsi="Arial" w:cs="Arial"/>
          <w:sz w:val="19"/>
          <w:szCs w:val="19"/>
        </w:rPr>
        <w:lastRenderedPageBreak/>
        <w:t>vyhlášk</w:t>
      </w:r>
      <w:r w:rsidR="00A4083D" w:rsidRPr="00875F2C">
        <w:rPr>
          <w:rFonts w:ascii="Arial" w:hAnsi="Arial" w:cs="Arial"/>
          <w:sz w:val="19"/>
          <w:szCs w:val="19"/>
        </w:rPr>
        <w:t>a</w:t>
      </w:r>
      <w:r w:rsidRPr="00875F2C">
        <w:rPr>
          <w:rFonts w:ascii="Arial" w:hAnsi="Arial" w:cs="Arial"/>
          <w:sz w:val="19"/>
          <w:szCs w:val="19"/>
        </w:rPr>
        <w:t xml:space="preserve"> č. 268/2009 Sb., o technických požadavcích na stavby, v platném znění</w:t>
      </w:r>
    </w:p>
    <w:p w:rsidR="00373C99" w:rsidRPr="00875F2C"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875F2C">
        <w:rPr>
          <w:rFonts w:ascii="Arial" w:hAnsi="Arial" w:cs="Arial"/>
          <w:sz w:val="19"/>
          <w:szCs w:val="19"/>
        </w:rPr>
        <w:t>Všeobecné technické podmínky VTP/DOKUMENTACE/0</w:t>
      </w:r>
      <w:r w:rsidR="003C6AD1" w:rsidRPr="00875F2C">
        <w:rPr>
          <w:rFonts w:ascii="Arial" w:hAnsi="Arial" w:cs="Arial"/>
          <w:sz w:val="19"/>
          <w:szCs w:val="19"/>
        </w:rPr>
        <w:t>4</w:t>
      </w:r>
      <w:r w:rsidR="00875F2C" w:rsidRPr="00875F2C">
        <w:rPr>
          <w:rFonts w:ascii="Arial" w:hAnsi="Arial" w:cs="Arial"/>
          <w:sz w:val="19"/>
          <w:szCs w:val="19"/>
        </w:rPr>
        <w:t xml:space="preserve">/21 </w:t>
      </w:r>
    </w:p>
    <w:p w:rsidR="003065DF" w:rsidRPr="00875F2C"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75F2C">
        <w:rPr>
          <w:rFonts w:ascii="Arial" w:hAnsi="Arial" w:cs="Arial"/>
          <w:sz w:val="19"/>
          <w:szCs w:val="19"/>
        </w:rPr>
        <w:t>Zvláštní technické podmínky</w:t>
      </w:r>
      <w:r w:rsidR="00A4083D" w:rsidRPr="00875F2C">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5A2354">
        <w:rPr>
          <w:rFonts w:ascii="Arial" w:hAnsi="Arial" w:cs="Arial"/>
          <w:sz w:val="19"/>
          <w:szCs w:val="19"/>
        </w:rPr>
        <w:t xml:space="preserve"> </w:t>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000" w:type="pct"/>
        <w:tblInd w:w="70" w:type="dxa"/>
        <w:tblCellMar>
          <w:left w:w="70" w:type="dxa"/>
          <w:right w:w="70" w:type="dxa"/>
        </w:tblCellMar>
        <w:tblLook w:val="04A0" w:firstRow="1" w:lastRow="0" w:firstColumn="1" w:lastColumn="0" w:noHBand="0" w:noVBand="1"/>
      </w:tblPr>
      <w:tblGrid>
        <w:gridCol w:w="1630"/>
        <w:gridCol w:w="2743"/>
        <w:gridCol w:w="2723"/>
        <w:gridCol w:w="1974"/>
      </w:tblGrid>
      <w:tr w:rsidR="00791350" w:rsidRPr="00DA4104" w:rsidTr="005331CE">
        <w:trPr>
          <w:trHeight w:val="135"/>
        </w:trPr>
        <w:tc>
          <w:tcPr>
            <w:tcW w:w="899"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51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01"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088"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331CE">
        <w:trPr>
          <w:trHeight w:val="300"/>
        </w:trPr>
        <w:tc>
          <w:tcPr>
            <w:tcW w:w="89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512"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108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331CE">
        <w:trPr>
          <w:trHeight w:val="615"/>
        </w:trPr>
        <w:tc>
          <w:tcPr>
            <w:tcW w:w="899"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512"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01"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088"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64646A" w:rsidRPr="00DA4104" w:rsidTr="005331CE">
        <w:trPr>
          <w:trHeight w:val="852"/>
        </w:trPr>
        <w:tc>
          <w:tcPr>
            <w:tcW w:w="899" w:type="pct"/>
            <w:tcBorders>
              <w:top w:val="nil"/>
              <w:left w:val="single" w:sz="8" w:space="0" w:color="auto"/>
              <w:bottom w:val="single" w:sz="8" w:space="0" w:color="auto"/>
              <w:right w:val="single" w:sz="8" w:space="0" w:color="auto"/>
            </w:tcBorders>
            <w:shd w:val="clear" w:color="000000" w:fill="FFFFFF"/>
            <w:vAlign w:val="center"/>
          </w:tcPr>
          <w:p w:rsidR="0064646A" w:rsidRPr="00B72613" w:rsidRDefault="0064646A" w:rsidP="0064646A">
            <w:pPr>
              <w:pStyle w:val="Textbezodsazen"/>
              <w:rPr>
                <w:rStyle w:val="Tun"/>
              </w:rPr>
            </w:pPr>
            <w:r w:rsidRPr="00B72613">
              <w:rPr>
                <w:rStyle w:val="Tun"/>
              </w:rPr>
              <w:t>Termín zahájení prací</w:t>
            </w:r>
          </w:p>
        </w:tc>
        <w:tc>
          <w:tcPr>
            <w:tcW w:w="1512" w:type="pct"/>
            <w:tcBorders>
              <w:top w:val="nil"/>
              <w:left w:val="nil"/>
              <w:bottom w:val="single" w:sz="8" w:space="0" w:color="auto"/>
              <w:right w:val="single" w:sz="8" w:space="0" w:color="auto"/>
            </w:tcBorders>
            <w:shd w:val="clear" w:color="000000" w:fill="FFFFFF"/>
            <w:vAlign w:val="center"/>
          </w:tcPr>
          <w:p w:rsidR="0064646A" w:rsidRPr="00B72613" w:rsidRDefault="0064646A" w:rsidP="0064646A">
            <w:pPr>
              <w:pStyle w:val="Textbezodsazen"/>
              <w:jc w:val="left"/>
            </w:pPr>
            <w:r w:rsidRPr="00B72613">
              <w:t>ihned po nabytí účinnosti Smlouvy</w:t>
            </w:r>
          </w:p>
        </w:tc>
        <w:tc>
          <w:tcPr>
            <w:tcW w:w="1501" w:type="pct"/>
            <w:tcBorders>
              <w:top w:val="nil"/>
              <w:left w:val="nil"/>
              <w:bottom w:val="single" w:sz="8" w:space="0" w:color="auto"/>
              <w:right w:val="single" w:sz="8" w:space="0" w:color="auto"/>
            </w:tcBorders>
            <w:shd w:val="clear" w:color="000000" w:fill="FFFFFF"/>
            <w:vAlign w:val="center"/>
          </w:tcPr>
          <w:p w:rsidR="0064646A" w:rsidRPr="00B72613" w:rsidRDefault="0064646A" w:rsidP="0064646A">
            <w:pPr>
              <w:pStyle w:val="Textbezodsazen"/>
              <w:jc w:val="left"/>
            </w:pPr>
            <w:r w:rsidRPr="00B72613">
              <w:t>-</w:t>
            </w:r>
          </w:p>
        </w:tc>
        <w:tc>
          <w:tcPr>
            <w:tcW w:w="1088" w:type="pct"/>
            <w:tcBorders>
              <w:top w:val="nil"/>
              <w:left w:val="nil"/>
              <w:bottom w:val="single" w:sz="8" w:space="0" w:color="auto"/>
              <w:right w:val="single" w:sz="8" w:space="0" w:color="auto"/>
            </w:tcBorders>
            <w:shd w:val="clear" w:color="000000" w:fill="FFFFFF"/>
            <w:vAlign w:val="center"/>
          </w:tcPr>
          <w:p w:rsidR="0064646A" w:rsidRPr="00B72613" w:rsidRDefault="0064646A" w:rsidP="0064646A">
            <w:pPr>
              <w:pStyle w:val="Textbezodsazen"/>
              <w:jc w:val="left"/>
            </w:pPr>
            <w:r w:rsidRPr="00B72613">
              <w:t>-</w:t>
            </w:r>
          </w:p>
        </w:tc>
      </w:tr>
      <w:tr w:rsidR="0064646A" w:rsidRPr="00DA4104" w:rsidTr="005331CE">
        <w:trPr>
          <w:trHeight w:val="852"/>
        </w:trPr>
        <w:tc>
          <w:tcPr>
            <w:tcW w:w="899" w:type="pct"/>
            <w:tcBorders>
              <w:top w:val="nil"/>
              <w:left w:val="single" w:sz="8" w:space="0" w:color="auto"/>
              <w:bottom w:val="single" w:sz="8" w:space="0" w:color="auto"/>
              <w:right w:val="single" w:sz="8" w:space="0" w:color="auto"/>
            </w:tcBorders>
            <w:shd w:val="clear" w:color="000000" w:fill="FFFFFF"/>
            <w:vAlign w:val="center"/>
          </w:tcPr>
          <w:p w:rsidR="0064646A" w:rsidRPr="002363E6" w:rsidRDefault="0064646A" w:rsidP="0064646A">
            <w:pPr>
              <w:pStyle w:val="Textbezodsazen"/>
              <w:rPr>
                <w:rStyle w:val="Tun"/>
              </w:rPr>
            </w:pPr>
            <w:r w:rsidRPr="002363E6">
              <w:rPr>
                <w:rStyle w:val="Tun"/>
              </w:rPr>
              <w:t>1. Dílčí etapa</w:t>
            </w:r>
          </w:p>
        </w:tc>
        <w:tc>
          <w:tcPr>
            <w:tcW w:w="1512" w:type="pct"/>
            <w:tcBorders>
              <w:top w:val="nil"/>
              <w:left w:val="nil"/>
              <w:bottom w:val="single" w:sz="8" w:space="0" w:color="auto"/>
              <w:right w:val="single" w:sz="8" w:space="0" w:color="auto"/>
            </w:tcBorders>
            <w:shd w:val="clear" w:color="000000" w:fill="FFFFFF"/>
            <w:vAlign w:val="center"/>
          </w:tcPr>
          <w:p w:rsidR="0064646A" w:rsidRPr="002363E6" w:rsidRDefault="0064646A" w:rsidP="0064646A">
            <w:pPr>
              <w:pStyle w:val="Textbezodsazen"/>
              <w:jc w:val="left"/>
            </w:pPr>
            <w:r>
              <w:rPr>
                <w:b/>
              </w:rPr>
              <w:t>do 5</w:t>
            </w:r>
            <w:r w:rsidRPr="002363E6">
              <w:rPr>
                <w:b/>
              </w:rPr>
              <w:t xml:space="preserve"> měsíců </w:t>
            </w:r>
            <w:r w:rsidRPr="002363E6">
              <w:t>od nabytí účinnosti Smlouvy</w:t>
            </w:r>
          </w:p>
        </w:tc>
        <w:tc>
          <w:tcPr>
            <w:tcW w:w="1501"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Návrh technického řešení DUSP k připomínkovému řízení (včetně SR, POV, soupisu prací)</w:t>
            </w:r>
          </w:p>
        </w:tc>
        <w:tc>
          <w:tcPr>
            <w:tcW w:w="1088"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 xml:space="preserve">Předávací protokol pro dané dílčí plnění  </w:t>
            </w:r>
          </w:p>
          <w:p w:rsidR="0064646A" w:rsidRPr="006F7A00" w:rsidRDefault="0064646A" w:rsidP="0064646A">
            <w:pPr>
              <w:pStyle w:val="Textbezodsazen"/>
              <w:jc w:val="left"/>
              <w:rPr>
                <w:sz w:val="16"/>
                <w:szCs w:val="16"/>
              </w:rPr>
            </w:pPr>
          </w:p>
        </w:tc>
      </w:tr>
      <w:tr w:rsidR="0064646A" w:rsidRPr="00DA4104" w:rsidTr="005331CE">
        <w:trPr>
          <w:trHeight w:val="1430"/>
        </w:trPr>
        <w:tc>
          <w:tcPr>
            <w:tcW w:w="899" w:type="pct"/>
            <w:tcBorders>
              <w:top w:val="nil"/>
              <w:left w:val="single" w:sz="8" w:space="0" w:color="auto"/>
              <w:bottom w:val="single" w:sz="8" w:space="0" w:color="auto"/>
              <w:right w:val="single" w:sz="8" w:space="0" w:color="auto"/>
            </w:tcBorders>
            <w:shd w:val="clear" w:color="000000" w:fill="FFFFFF"/>
            <w:vAlign w:val="center"/>
          </w:tcPr>
          <w:p w:rsidR="0064646A" w:rsidRPr="002363E6" w:rsidRDefault="0064646A" w:rsidP="0064646A">
            <w:pPr>
              <w:pStyle w:val="Textbezodsazen"/>
              <w:rPr>
                <w:rStyle w:val="Tun"/>
              </w:rPr>
            </w:pPr>
            <w:r w:rsidRPr="002363E6">
              <w:rPr>
                <w:rStyle w:val="Tun"/>
              </w:rPr>
              <w:t>2. Dílčí etapa</w:t>
            </w:r>
          </w:p>
        </w:tc>
        <w:tc>
          <w:tcPr>
            <w:tcW w:w="1512" w:type="pct"/>
            <w:tcBorders>
              <w:top w:val="nil"/>
              <w:left w:val="nil"/>
              <w:bottom w:val="single" w:sz="8" w:space="0" w:color="auto"/>
              <w:right w:val="single" w:sz="8" w:space="0" w:color="auto"/>
            </w:tcBorders>
            <w:shd w:val="clear" w:color="000000" w:fill="FFFFFF"/>
            <w:vAlign w:val="center"/>
          </w:tcPr>
          <w:p w:rsidR="0064646A" w:rsidRPr="002363E6" w:rsidRDefault="0064646A" w:rsidP="0064646A">
            <w:pPr>
              <w:pStyle w:val="Textbezodsazen"/>
              <w:jc w:val="left"/>
            </w:pPr>
            <w:r>
              <w:rPr>
                <w:b/>
              </w:rPr>
              <w:t xml:space="preserve">Do 8 </w:t>
            </w:r>
            <w:r w:rsidRPr="002363E6">
              <w:rPr>
                <w:b/>
              </w:rPr>
              <w:t>měsíců</w:t>
            </w:r>
            <w:r w:rsidRPr="002363E6">
              <w:t xml:space="preserve"> od nabytí účinnosti Smlouvy</w:t>
            </w:r>
          </w:p>
        </w:tc>
        <w:tc>
          <w:tcPr>
            <w:tcW w:w="1501"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Dílčí předání DUSP se zapracovanými připomínkami včetně dokladové části. Dílčí předání PDPS k připomínkovému řízení.</w:t>
            </w:r>
          </w:p>
        </w:tc>
        <w:tc>
          <w:tcPr>
            <w:tcW w:w="1088"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 xml:space="preserve">Odsouhlasení DUSP objednatelem. Předávací protokol k dané dílčí etapě </w:t>
            </w:r>
          </w:p>
        </w:tc>
      </w:tr>
      <w:tr w:rsidR="0064646A" w:rsidRPr="00DA4104" w:rsidTr="005331CE">
        <w:trPr>
          <w:trHeight w:val="801"/>
        </w:trPr>
        <w:tc>
          <w:tcPr>
            <w:tcW w:w="899" w:type="pct"/>
            <w:tcBorders>
              <w:top w:val="nil"/>
              <w:left w:val="single" w:sz="8" w:space="0" w:color="auto"/>
              <w:bottom w:val="single" w:sz="4" w:space="0" w:color="auto"/>
              <w:right w:val="single" w:sz="8" w:space="0" w:color="auto"/>
            </w:tcBorders>
            <w:shd w:val="clear" w:color="000000" w:fill="FFFFFF"/>
            <w:vAlign w:val="center"/>
          </w:tcPr>
          <w:p w:rsidR="0064646A" w:rsidRPr="002363E6" w:rsidRDefault="0064646A" w:rsidP="0064646A">
            <w:pPr>
              <w:pStyle w:val="Textbezodsazen"/>
              <w:rPr>
                <w:rStyle w:val="Tun"/>
              </w:rPr>
            </w:pPr>
            <w:r w:rsidRPr="002363E6">
              <w:rPr>
                <w:rStyle w:val="Tun"/>
              </w:rPr>
              <w:t>3. Dílčí etapa</w:t>
            </w:r>
          </w:p>
        </w:tc>
        <w:tc>
          <w:tcPr>
            <w:tcW w:w="1512" w:type="pct"/>
            <w:tcBorders>
              <w:top w:val="nil"/>
              <w:left w:val="nil"/>
              <w:bottom w:val="single" w:sz="4" w:space="0" w:color="auto"/>
              <w:right w:val="single" w:sz="8" w:space="0" w:color="auto"/>
            </w:tcBorders>
            <w:shd w:val="clear" w:color="000000" w:fill="FFFFFF"/>
            <w:vAlign w:val="center"/>
          </w:tcPr>
          <w:p w:rsidR="0064646A" w:rsidRPr="002363E6" w:rsidRDefault="0064646A" w:rsidP="0064646A">
            <w:pPr>
              <w:pStyle w:val="Textbezodsazen"/>
              <w:jc w:val="left"/>
            </w:pPr>
            <w:r>
              <w:rPr>
                <w:b/>
              </w:rPr>
              <w:t>do 10</w:t>
            </w:r>
            <w:r w:rsidRPr="002363E6">
              <w:rPr>
                <w:b/>
              </w:rPr>
              <w:t xml:space="preserve"> měsíců</w:t>
            </w:r>
            <w:r w:rsidRPr="002363E6">
              <w:t xml:space="preserve"> od nabytí účinnosti Smlouvy</w:t>
            </w:r>
          </w:p>
        </w:tc>
        <w:tc>
          <w:tcPr>
            <w:tcW w:w="1501" w:type="pct"/>
            <w:tcBorders>
              <w:top w:val="nil"/>
              <w:left w:val="nil"/>
              <w:bottom w:val="single" w:sz="4" w:space="0" w:color="auto"/>
              <w:right w:val="single" w:sz="8" w:space="0" w:color="auto"/>
            </w:tcBorders>
            <w:shd w:val="clear" w:color="000000" w:fill="FFFFFF"/>
            <w:vAlign w:val="center"/>
          </w:tcPr>
          <w:p w:rsidR="0064646A" w:rsidRPr="006F7A00" w:rsidRDefault="0064646A" w:rsidP="0064646A">
            <w:pPr>
              <w:pStyle w:val="Textbezodsazen"/>
              <w:rPr>
                <w:sz w:val="16"/>
                <w:szCs w:val="16"/>
              </w:rPr>
            </w:pPr>
            <w:r w:rsidRPr="006F7A00">
              <w:rPr>
                <w:sz w:val="16"/>
                <w:szCs w:val="16"/>
              </w:rPr>
              <w:t>Podání žádosti o společné povolení</w:t>
            </w:r>
          </w:p>
        </w:tc>
        <w:tc>
          <w:tcPr>
            <w:tcW w:w="1088" w:type="pct"/>
            <w:tcBorders>
              <w:top w:val="nil"/>
              <w:left w:val="nil"/>
              <w:bottom w:val="single" w:sz="4"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 xml:space="preserve">Kopie žádosti předaná Objednateli, potvrzená podatelnou stavebního úřadu </w:t>
            </w:r>
          </w:p>
        </w:tc>
      </w:tr>
      <w:tr w:rsidR="0064646A" w:rsidRPr="00DA4104" w:rsidTr="005331CE">
        <w:trPr>
          <w:trHeight w:val="801"/>
        </w:trPr>
        <w:tc>
          <w:tcPr>
            <w:tcW w:w="899" w:type="pct"/>
            <w:tcBorders>
              <w:top w:val="single" w:sz="4" w:space="0" w:color="auto"/>
              <w:left w:val="single" w:sz="8" w:space="0" w:color="auto"/>
              <w:bottom w:val="single" w:sz="8" w:space="0" w:color="auto"/>
              <w:right w:val="single" w:sz="8" w:space="0" w:color="auto"/>
            </w:tcBorders>
            <w:shd w:val="clear" w:color="000000" w:fill="FFFFFF"/>
            <w:vAlign w:val="center"/>
          </w:tcPr>
          <w:p w:rsidR="0064646A" w:rsidRPr="002363E6" w:rsidRDefault="0064646A" w:rsidP="0064646A">
            <w:pPr>
              <w:pStyle w:val="Textbezodsazen"/>
              <w:rPr>
                <w:rStyle w:val="Tun"/>
              </w:rPr>
            </w:pPr>
            <w:r w:rsidRPr="002363E6">
              <w:rPr>
                <w:rStyle w:val="Tun"/>
              </w:rPr>
              <w:lastRenderedPageBreak/>
              <w:t>4. Dílčí etapa</w:t>
            </w:r>
          </w:p>
        </w:tc>
        <w:tc>
          <w:tcPr>
            <w:tcW w:w="1512" w:type="pct"/>
            <w:tcBorders>
              <w:top w:val="single" w:sz="4" w:space="0" w:color="auto"/>
              <w:left w:val="nil"/>
              <w:bottom w:val="single" w:sz="8" w:space="0" w:color="auto"/>
              <w:right w:val="single" w:sz="8" w:space="0" w:color="auto"/>
            </w:tcBorders>
            <w:shd w:val="clear" w:color="000000" w:fill="FFFFFF"/>
            <w:vAlign w:val="center"/>
          </w:tcPr>
          <w:p w:rsidR="0064646A" w:rsidRPr="002363E6" w:rsidRDefault="0064646A" w:rsidP="0064646A">
            <w:pPr>
              <w:pStyle w:val="Textbezodsazen"/>
              <w:jc w:val="left"/>
            </w:pPr>
            <w:r>
              <w:rPr>
                <w:b/>
              </w:rPr>
              <w:t xml:space="preserve">do 12 </w:t>
            </w:r>
            <w:r w:rsidRPr="002363E6">
              <w:rPr>
                <w:b/>
              </w:rPr>
              <w:t>měsíců</w:t>
            </w:r>
            <w:r w:rsidRPr="002363E6">
              <w:t xml:space="preserve"> od nabytí účinnosti Smlouvy</w:t>
            </w:r>
          </w:p>
        </w:tc>
        <w:tc>
          <w:tcPr>
            <w:tcW w:w="1501" w:type="pct"/>
            <w:tcBorders>
              <w:top w:val="single" w:sz="4" w:space="0" w:color="auto"/>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Nabytí právní moci společného povolení</w:t>
            </w:r>
          </w:p>
          <w:p w:rsidR="0064646A" w:rsidRPr="006F7A00" w:rsidRDefault="0064646A" w:rsidP="0064646A">
            <w:pPr>
              <w:pStyle w:val="Textbezodsazen"/>
              <w:jc w:val="left"/>
              <w:rPr>
                <w:sz w:val="16"/>
                <w:szCs w:val="16"/>
              </w:rPr>
            </w:pPr>
            <w:r w:rsidRPr="006F7A00">
              <w:rPr>
                <w:sz w:val="16"/>
                <w:szCs w:val="16"/>
              </w:rPr>
              <w:t xml:space="preserve">Definitivní předání DUSP a </w:t>
            </w:r>
            <w:r w:rsidR="00E16FDA">
              <w:rPr>
                <w:sz w:val="16"/>
                <w:szCs w:val="16"/>
              </w:rPr>
              <w:t xml:space="preserve">PDPS s kompletní </w:t>
            </w:r>
            <w:r w:rsidRPr="006F7A00">
              <w:rPr>
                <w:sz w:val="16"/>
                <w:szCs w:val="16"/>
              </w:rPr>
              <w:t xml:space="preserve">dokladovou část, náklady a oceněnými soupisy prací ve struktuře dle VTP, a návrhem ZTP na realizaci stavby. </w:t>
            </w:r>
          </w:p>
        </w:tc>
        <w:tc>
          <w:tcPr>
            <w:tcW w:w="1088" w:type="pct"/>
            <w:tcBorders>
              <w:top w:val="single" w:sz="4" w:space="0" w:color="auto"/>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Pr>
                <w:sz w:val="16"/>
                <w:szCs w:val="16"/>
              </w:rPr>
              <w:t>Společné s</w:t>
            </w:r>
            <w:r w:rsidRPr="006F7A00">
              <w:rPr>
                <w:sz w:val="16"/>
                <w:szCs w:val="16"/>
              </w:rPr>
              <w:t>tavební povolení v právní moci, předané Objednateli. Odsouhlasení PDPS objednatelem</w:t>
            </w:r>
            <w:r>
              <w:rPr>
                <w:sz w:val="16"/>
                <w:szCs w:val="16"/>
              </w:rPr>
              <w:t>.</w:t>
            </w:r>
            <w:r w:rsidRPr="006F7A00">
              <w:rPr>
                <w:sz w:val="16"/>
                <w:szCs w:val="16"/>
              </w:rPr>
              <w:t xml:space="preserve"> </w:t>
            </w:r>
          </w:p>
        </w:tc>
      </w:tr>
      <w:tr w:rsidR="0064646A" w:rsidRPr="00DA4104" w:rsidTr="005331CE">
        <w:trPr>
          <w:trHeight w:val="801"/>
        </w:trPr>
        <w:tc>
          <w:tcPr>
            <w:tcW w:w="899" w:type="pct"/>
            <w:tcBorders>
              <w:top w:val="nil"/>
              <w:left w:val="single" w:sz="8" w:space="0" w:color="auto"/>
              <w:bottom w:val="single" w:sz="8" w:space="0" w:color="auto"/>
              <w:right w:val="single" w:sz="8" w:space="0" w:color="auto"/>
            </w:tcBorders>
            <w:shd w:val="clear" w:color="000000" w:fill="FFFFFF"/>
            <w:vAlign w:val="center"/>
          </w:tcPr>
          <w:p w:rsidR="0064646A" w:rsidRPr="002363E6" w:rsidRDefault="0064646A" w:rsidP="005331CE">
            <w:pPr>
              <w:pStyle w:val="Textbezodsazen"/>
              <w:jc w:val="left"/>
              <w:rPr>
                <w:rStyle w:val="Tun"/>
              </w:rPr>
            </w:pPr>
            <w:r>
              <w:rPr>
                <w:rStyle w:val="Tun"/>
              </w:rPr>
              <w:t xml:space="preserve">5. Dílčí etapa </w:t>
            </w:r>
            <w:r w:rsidR="005331CE">
              <w:rPr>
                <w:rStyle w:val="Tun"/>
              </w:rPr>
              <w:t>-u</w:t>
            </w:r>
            <w:r w:rsidRPr="002363E6">
              <w:rPr>
                <w:rStyle w:val="Tun"/>
              </w:rPr>
              <w:t>končení Díla</w:t>
            </w:r>
            <w:r>
              <w:rPr>
                <w:rStyle w:val="Tun"/>
              </w:rPr>
              <w:t xml:space="preserve"> </w:t>
            </w:r>
          </w:p>
        </w:tc>
        <w:tc>
          <w:tcPr>
            <w:tcW w:w="1512" w:type="pct"/>
            <w:tcBorders>
              <w:top w:val="nil"/>
              <w:left w:val="nil"/>
              <w:bottom w:val="single" w:sz="8" w:space="0" w:color="auto"/>
              <w:right w:val="single" w:sz="8" w:space="0" w:color="auto"/>
            </w:tcBorders>
            <w:shd w:val="clear" w:color="000000" w:fill="FFFFFF"/>
            <w:vAlign w:val="center"/>
          </w:tcPr>
          <w:p w:rsidR="0064646A" w:rsidRPr="002363E6" w:rsidRDefault="0064646A" w:rsidP="0064646A">
            <w:pPr>
              <w:pStyle w:val="Textbezodsazen"/>
              <w:jc w:val="left"/>
            </w:pPr>
            <w:r>
              <w:rPr>
                <w:b/>
              </w:rPr>
              <w:t xml:space="preserve">předpoklad do </w:t>
            </w:r>
            <w:r w:rsidR="005331CE">
              <w:rPr>
                <w:b/>
              </w:rPr>
              <w:t xml:space="preserve">1/2023 až </w:t>
            </w:r>
            <w:r>
              <w:rPr>
                <w:b/>
              </w:rPr>
              <w:t>07/2024</w:t>
            </w:r>
            <w:r w:rsidRPr="002363E6">
              <w:t xml:space="preserve"> (v</w:t>
            </w:r>
            <w:r>
              <w:t xml:space="preserve"> závislosti na zahájení od 4. d</w:t>
            </w:r>
            <w:r w:rsidRPr="002363E6">
              <w:t>ílčí etapy)</w:t>
            </w:r>
          </w:p>
        </w:tc>
        <w:tc>
          <w:tcPr>
            <w:tcW w:w="1501"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Autorský dozor projektanta při realizaci stavby. Zhotovitel se zavazuje provádět autorský dozor ode dne zahájení realizace stavby do ukončení realizace stavby v předpokládané délce 16 měsíců</w:t>
            </w:r>
          </w:p>
        </w:tc>
        <w:tc>
          <w:tcPr>
            <w:tcW w:w="1088" w:type="pct"/>
            <w:tcBorders>
              <w:top w:val="nil"/>
              <w:left w:val="nil"/>
              <w:bottom w:val="single" w:sz="8" w:space="0" w:color="auto"/>
              <w:right w:val="single" w:sz="8" w:space="0" w:color="auto"/>
            </w:tcBorders>
            <w:shd w:val="clear" w:color="000000" w:fill="FFFFFF"/>
            <w:vAlign w:val="center"/>
          </w:tcPr>
          <w:p w:rsidR="0064646A" w:rsidRPr="006F7A00" w:rsidRDefault="0064646A" w:rsidP="0064646A">
            <w:pPr>
              <w:pStyle w:val="Textbezodsazen"/>
              <w:jc w:val="left"/>
              <w:rPr>
                <w:sz w:val="16"/>
                <w:szCs w:val="16"/>
              </w:rPr>
            </w:pPr>
            <w:r w:rsidRPr="006F7A00">
              <w:rPr>
                <w:sz w:val="16"/>
                <w:szCs w:val="16"/>
              </w:rPr>
              <w:t>Po ukončení přejímacího řízení Stavby a předložení výkazu poskytnutých služeb (o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 xml:space="preserve">Počet </w:t>
      </w:r>
      <w:proofErr w:type="gramStart"/>
      <w:r w:rsidR="00E42599" w:rsidRPr="00DA4104">
        <w:rPr>
          <w:rFonts w:ascii="Arial" w:hAnsi="Arial" w:cs="Arial"/>
          <w:i/>
          <w:sz w:val="19"/>
          <w:szCs w:val="19"/>
          <w:u w:val="single"/>
        </w:rPr>
        <w:t>vyhotovení</w:t>
      </w:r>
      <w:r w:rsidR="00E42599" w:rsidRPr="00E378BD">
        <w:rPr>
          <w:rFonts w:ascii="Arial" w:hAnsi="Arial" w:cs="Arial"/>
          <w:i/>
          <w:sz w:val="19"/>
          <w:szCs w:val="19"/>
          <w:u w:val="single"/>
        </w:rPr>
        <w:t>:</w:t>
      </w:r>
      <w:r w:rsidR="00777ACF" w:rsidRPr="00E378BD">
        <w:rPr>
          <w:rFonts w:ascii="Arial" w:hAnsi="Arial" w:cs="Arial"/>
          <w:b/>
          <w:sz w:val="19"/>
          <w:szCs w:val="19"/>
        </w:rPr>
        <w:t xml:space="preserve">   </w:t>
      </w:r>
      <w:r w:rsidR="00E378BD" w:rsidRPr="00E378BD">
        <w:rPr>
          <w:rFonts w:ascii="Arial" w:hAnsi="Arial" w:cs="Arial"/>
          <w:sz w:val="19"/>
          <w:szCs w:val="19"/>
        </w:rPr>
        <w:t>dle</w:t>
      </w:r>
      <w:proofErr w:type="gramEnd"/>
      <w:r w:rsidR="00E378BD" w:rsidRPr="00E378BD">
        <w:rPr>
          <w:rFonts w:ascii="Arial" w:hAnsi="Arial" w:cs="Arial"/>
          <w:sz w:val="19"/>
          <w:szCs w:val="19"/>
        </w:rPr>
        <w:t xml:space="preserve"> VTP</w:t>
      </w:r>
      <w:r w:rsidR="00E378BD">
        <w:rPr>
          <w:rFonts w:ascii="Arial" w:hAnsi="Arial" w:cs="Arial"/>
          <w:sz w:val="19"/>
          <w:szCs w:val="19"/>
        </w:rPr>
        <w:t>/DOKUMENTACE/04/21</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045BB4" w:rsidRPr="00687588" w:rsidRDefault="00045BB4" w:rsidP="006447F4">
      <w:pPr>
        <w:suppressAutoHyphens/>
        <w:spacing w:before="120"/>
        <w:ind w:left="539" w:hanging="539"/>
        <w:jc w:val="both"/>
        <w:rPr>
          <w:rFonts w:ascii="Arial" w:hAnsi="Arial" w:cs="Arial"/>
          <w:sz w:val="19"/>
          <w:szCs w:val="19"/>
        </w:rPr>
      </w:pP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5A2354" w:rsidRDefault="005A2354" w:rsidP="003A2EE2">
      <w:pPr>
        <w:spacing w:after="240"/>
        <w:ind w:left="567" w:hanging="567"/>
        <w:rPr>
          <w:rFonts w:ascii="Arial" w:hAnsi="Arial" w:cs="Arial"/>
          <w:b/>
          <w:sz w:val="19"/>
          <w:szCs w:val="19"/>
        </w:rPr>
      </w:pPr>
    </w:p>
    <w:p w:rsidR="00EE522D" w:rsidRDefault="00EE522D" w:rsidP="003A2EE2">
      <w:pPr>
        <w:spacing w:after="240"/>
        <w:ind w:left="567" w:hanging="567"/>
        <w:rPr>
          <w:rFonts w:ascii="Arial" w:hAnsi="Arial" w:cs="Arial"/>
          <w:b/>
          <w:sz w:val="19"/>
          <w:szCs w:val="19"/>
        </w:rPr>
      </w:pPr>
    </w:p>
    <w:p w:rsidR="00C003EB" w:rsidRPr="0034023F" w:rsidRDefault="00B951C3" w:rsidP="003A2EE2">
      <w:pPr>
        <w:spacing w:after="240"/>
        <w:ind w:left="567" w:hanging="567"/>
        <w:rPr>
          <w:rFonts w:ascii="Arial" w:hAnsi="Arial" w:cs="Arial"/>
          <w:b/>
          <w:sz w:val="19"/>
          <w:szCs w:val="19"/>
        </w:rPr>
      </w:pPr>
      <w:r w:rsidRPr="0034023F">
        <w:rPr>
          <w:rFonts w:ascii="Arial" w:hAnsi="Arial" w:cs="Arial"/>
          <w:b/>
          <w:sz w:val="19"/>
          <w:szCs w:val="19"/>
        </w:rPr>
        <w:lastRenderedPageBreak/>
        <w:t xml:space="preserve">5.2. </w:t>
      </w:r>
      <w:r w:rsidR="00993A73" w:rsidRPr="0034023F">
        <w:rPr>
          <w:rFonts w:ascii="Arial" w:hAnsi="Arial" w:cs="Arial"/>
          <w:b/>
          <w:sz w:val="19"/>
          <w:szCs w:val="19"/>
        </w:rPr>
        <w:tab/>
      </w:r>
      <w:r w:rsidR="00ED7B25" w:rsidRPr="0034023F">
        <w:rPr>
          <w:rFonts w:ascii="Arial" w:hAnsi="Arial" w:cs="Arial"/>
          <w:b/>
          <w:sz w:val="19"/>
          <w:szCs w:val="19"/>
        </w:rPr>
        <w:t>Základní služby na zpracování DUSP a PDPS</w:t>
      </w:r>
      <w:r w:rsidRPr="0034023F">
        <w:rPr>
          <w:rFonts w:ascii="Arial" w:hAnsi="Arial" w:cs="Arial"/>
          <w:b/>
          <w:sz w:val="19"/>
          <w:szCs w:val="19"/>
        </w:rPr>
        <w:t>:</w:t>
      </w:r>
    </w:p>
    <w:tbl>
      <w:tblPr>
        <w:tblStyle w:val="Tabulka1"/>
        <w:tblW w:w="8732" w:type="dxa"/>
        <w:tblInd w:w="85" w:type="dxa"/>
        <w:tblBorders>
          <w:top w:val="single" w:sz="2" w:space="0" w:color="auto"/>
          <w:left w:val="single" w:sz="4" w:space="0" w:color="auto"/>
          <w:right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ED7B25" w:rsidRPr="0034023F" w:rsidTr="005A23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rPr>
                <w:rFonts w:ascii="Arial" w:hAnsi="Arial" w:cs="Arial"/>
                <w:b/>
                <w:sz w:val="19"/>
                <w:szCs w:val="19"/>
              </w:rPr>
            </w:pPr>
            <w:r w:rsidRPr="0034023F">
              <w:rPr>
                <w:rFonts w:ascii="Arial" w:hAnsi="Arial" w:cs="Arial"/>
                <w:b/>
                <w:sz w:val="19"/>
                <w:szCs w:val="19"/>
              </w:rPr>
              <w:t>Pol.</w:t>
            </w:r>
          </w:p>
        </w:tc>
        <w:tc>
          <w:tcPr>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rPr>
            </w:pPr>
            <w:r w:rsidRPr="0034023F">
              <w:rPr>
                <w:rFonts w:ascii="Arial" w:hAnsi="Arial" w:cs="Arial"/>
                <w:b/>
                <w:sz w:val="19"/>
                <w:szCs w:val="19"/>
              </w:rPr>
              <w:t>Popis</w:t>
            </w:r>
          </w:p>
        </w:tc>
        <w:tc>
          <w:tcPr>
            <w:tcW w:w="9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rPr>
            </w:pPr>
            <w:r w:rsidRPr="0034023F">
              <w:rPr>
                <w:rFonts w:ascii="Arial" w:hAnsi="Arial" w:cs="Arial"/>
                <w:b/>
                <w:sz w:val="19"/>
                <w:szCs w:val="19"/>
              </w:rPr>
              <w:t>Měrná jednotka</w:t>
            </w:r>
          </w:p>
        </w:tc>
        <w:tc>
          <w:tcPr>
            <w:tcW w:w="108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rPr>
            </w:pPr>
            <w:r w:rsidRPr="0034023F">
              <w:rPr>
                <w:rFonts w:ascii="Arial" w:hAnsi="Arial" w:cs="Arial"/>
                <w:b/>
                <w:sz w:val="19"/>
                <w:szCs w:val="19"/>
              </w:rPr>
              <w:t>Množství *)</w:t>
            </w:r>
          </w:p>
        </w:tc>
        <w:tc>
          <w:tcPr>
            <w:tcW w:w="12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rPr>
            </w:pPr>
            <w:proofErr w:type="spellStart"/>
            <w:r w:rsidRPr="0034023F">
              <w:rPr>
                <w:rFonts w:ascii="Arial" w:hAnsi="Arial" w:cs="Arial"/>
                <w:b/>
                <w:sz w:val="19"/>
                <w:szCs w:val="19"/>
              </w:rPr>
              <w:t>Jedn</w:t>
            </w:r>
            <w:proofErr w:type="spellEnd"/>
            <w:r w:rsidRPr="0034023F">
              <w:rPr>
                <w:rFonts w:ascii="Arial" w:hAnsi="Arial" w:cs="Arial"/>
                <w:b/>
                <w:sz w:val="19"/>
                <w:szCs w:val="19"/>
              </w:rPr>
              <w:t xml:space="preserve">. </w:t>
            </w:r>
            <w:proofErr w:type="gramStart"/>
            <w:r w:rsidRPr="0034023F">
              <w:rPr>
                <w:rFonts w:ascii="Arial" w:hAnsi="Arial" w:cs="Arial"/>
                <w:b/>
                <w:sz w:val="19"/>
                <w:szCs w:val="19"/>
              </w:rPr>
              <w:t>cena</w:t>
            </w:r>
            <w:proofErr w:type="gramEnd"/>
            <w:r w:rsidRPr="0034023F">
              <w:rPr>
                <w:rFonts w:ascii="Arial" w:hAnsi="Arial" w:cs="Arial"/>
                <w:b/>
                <w:sz w:val="19"/>
                <w:szCs w:val="19"/>
              </w:rPr>
              <w:t xml:space="preserve"> *)</w:t>
            </w:r>
          </w:p>
        </w:tc>
        <w:tc>
          <w:tcPr>
            <w:tcW w:w="13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rPr>
            </w:pPr>
            <w:r w:rsidRPr="0034023F">
              <w:rPr>
                <w:rFonts w:ascii="Arial" w:hAnsi="Arial" w:cs="Arial"/>
                <w:b/>
                <w:sz w:val="19"/>
                <w:szCs w:val="19"/>
              </w:rPr>
              <w:t>Cena celkem *)</w:t>
            </w: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 xml:space="preserve">Zpracování DUSP dle vyhlášky </w:t>
            </w:r>
            <w:proofErr w:type="gramStart"/>
            <w:r w:rsidRPr="0034023F">
              <w:rPr>
                <w:rFonts w:ascii="Arial" w:hAnsi="Arial" w:cs="Arial"/>
                <w:sz w:val="19"/>
                <w:szCs w:val="19"/>
              </w:rPr>
              <w:t>č.146</w:t>
            </w:r>
            <w:proofErr w:type="gramEnd"/>
            <w:r w:rsidRPr="0034023F">
              <w:rPr>
                <w:rFonts w:ascii="Arial" w:hAnsi="Arial" w:cs="Arial"/>
                <w:sz w:val="19"/>
                <w:szCs w:val="19"/>
              </w:rPr>
              <w:t xml:space="preserve"> /2008 Sb. v platném znění dle VTP a ZTP</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2</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Zpracování PDPS (v rozsahu dopracování příloh DUSP do podrobnosti PDPS) vyjma příloh G, H a I, včetně všech dílčích odevzdání, dle přílohy č. 2 Směrnice GŘ SŽDC č. 11/2006 v platném znění dle VTP a ZTP</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3</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 xml:space="preserve">Stanovení nákladů stavby v rozsahu položkových rozpočtů jednotlivých SO a PS a souhrnného rozpočtu stavby (v rozsahu požadavků Směrnice SŽDC </w:t>
            </w:r>
            <w:proofErr w:type="gramStart"/>
            <w:r w:rsidRPr="0034023F">
              <w:rPr>
                <w:rFonts w:ascii="Arial" w:hAnsi="Arial" w:cs="Arial"/>
                <w:sz w:val="19"/>
                <w:szCs w:val="19"/>
              </w:rPr>
              <w:t>č.20</w:t>
            </w:r>
            <w:proofErr w:type="gramEnd"/>
            <w:r w:rsidRPr="0034023F">
              <w:rPr>
                <w:rFonts w:ascii="Arial" w:hAnsi="Arial" w:cs="Arial"/>
                <w:sz w:val="19"/>
                <w:szCs w:val="19"/>
              </w:rPr>
              <w:t xml:space="preserve"> v platném zněn a dle požadavku VTP a ZTP)-příloha dokumentace část G</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4</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Kompletní dokladová část (dle požadavku VTP a ZTP) včetně inženýrské činnosti-příloha dokumentace část H</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5</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Kompletní geodetická část (v rozsahu přílohy I - dle přílohy č. 2 Směrnice GŘ SŽDC č.11/2006 v platném znění a dle požadavku VTP a ZTP) včetně inženýrské činnosti</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6</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 xml:space="preserve">Definitivní odevzdání DUSP, dle SOD v listinné </w:t>
            </w:r>
            <w:r w:rsidR="00E57362" w:rsidRPr="0034023F">
              <w:rPr>
                <w:rFonts w:ascii="Arial" w:hAnsi="Arial" w:cs="Arial"/>
                <w:sz w:val="19"/>
                <w:szCs w:val="19"/>
              </w:rPr>
              <w:t>formě (v rozsahu</w:t>
            </w:r>
            <w:r w:rsidRPr="0034023F">
              <w:rPr>
                <w:rFonts w:ascii="Arial" w:hAnsi="Arial" w:cs="Arial"/>
                <w:sz w:val="19"/>
                <w:szCs w:val="19"/>
              </w:rPr>
              <w:t xml:space="preserve"> a počtu dle požadavku VTP a ZTP)</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1</w:t>
            </w: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7</w:t>
            </w:r>
          </w:p>
        </w:tc>
        <w:tc>
          <w:tcPr>
            <w:tcW w:w="354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Definitivní odevzdání PDPS, dle SOD v listinné formě (v rozsahu a počtu dle požadavku VTP a ZTP)</w:t>
            </w:r>
          </w:p>
        </w:tc>
        <w:tc>
          <w:tcPr>
            <w:tcW w:w="97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1082"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1</w:t>
            </w:r>
          </w:p>
        </w:tc>
        <w:tc>
          <w:tcPr>
            <w:tcW w:w="1204"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8</w:t>
            </w:r>
          </w:p>
        </w:tc>
        <w:tc>
          <w:tcPr>
            <w:tcW w:w="3544"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Definitivní odevzdání DUSP, dle SOD v elektronické formě (v rozsahu a počtu dle požadavku VTP a ZTP)</w:t>
            </w:r>
          </w:p>
        </w:tc>
        <w:tc>
          <w:tcPr>
            <w:tcW w:w="974"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1082"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1</w:t>
            </w:r>
          </w:p>
        </w:tc>
        <w:tc>
          <w:tcPr>
            <w:tcW w:w="1204"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rPr>
          <w:trHeight w:val="1046"/>
        </w:trPr>
        <w:tc>
          <w:tcPr>
            <w:cnfStyle w:val="001000000000" w:firstRow="0" w:lastRow="0" w:firstColumn="1" w:lastColumn="0" w:oddVBand="0" w:evenVBand="0" w:oddHBand="0" w:evenHBand="0" w:firstRowFirstColumn="0" w:firstRowLastColumn="0" w:lastRowFirstColumn="0" w:lastRowLastColumn="0"/>
            <w:tcW w:w="567" w:type="dxa"/>
            <w:tcBorders>
              <w:bottom w:val="single" w:sz="4"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9</w:t>
            </w:r>
          </w:p>
        </w:tc>
        <w:tc>
          <w:tcPr>
            <w:tcW w:w="3544" w:type="dxa"/>
            <w:tcBorders>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 xml:space="preserve">Definitivní odevzdání PDPS, dle SOD v elektronické formě </w:t>
            </w:r>
            <w:r w:rsidRPr="0034023F">
              <w:rPr>
                <w:rFonts w:ascii="Arial" w:hAnsi="Arial" w:cs="Arial"/>
                <w:sz w:val="19"/>
                <w:szCs w:val="19"/>
              </w:rPr>
              <w:br/>
              <w:t>(v rozsahu a počtu dle požadavku VTP a ZTP)</w:t>
            </w:r>
          </w:p>
        </w:tc>
        <w:tc>
          <w:tcPr>
            <w:tcW w:w="974" w:type="dxa"/>
            <w:tcBorders>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1082" w:type="dxa"/>
            <w:tcBorders>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1</w:t>
            </w:r>
          </w:p>
        </w:tc>
        <w:tc>
          <w:tcPr>
            <w:tcW w:w="1204" w:type="dxa"/>
            <w:tcBorders>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361" w:type="dxa"/>
            <w:tcBorders>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bl>
    <w:p w:rsidR="00ED7B25" w:rsidRPr="0034023F" w:rsidRDefault="00ED7B25" w:rsidP="00C003EB">
      <w:pPr>
        <w:ind w:left="510"/>
        <w:jc w:val="both"/>
        <w:rPr>
          <w:rFonts w:ascii="Arial" w:hAnsi="Arial" w:cs="Arial"/>
          <w:color w:val="FF0000"/>
          <w:sz w:val="19"/>
          <w:szCs w:val="19"/>
          <w:highlight w:val="yellow"/>
        </w:rPr>
      </w:pPr>
    </w:p>
    <w:p w:rsidR="00ED7B25" w:rsidRPr="0034023F" w:rsidRDefault="00ED7B25" w:rsidP="00ED7B25">
      <w:pPr>
        <w:pStyle w:val="Nadpisbezsl1-1"/>
        <w:rPr>
          <w:rFonts w:ascii="Arial" w:hAnsi="Arial" w:cs="Arial"/>
          <w:sz w:val="19"/>
          <w:szCs w:val="19"/>
        </w:rPr>
      </w:pPr>
      <w:r w:rsidRPr="0034023F">
        <w:rPr>
          <w:rFonts w:ascii="Arial" w:hAnsi="Arial" w:cs="Arial"/>
          <w:sz w:val="19"/>
          <w:szCs w:val="19"/>
        </w:rPr>
        <w:t>Dodatečné služby na zpracování DUSP a PDPS:</w:t>
      </w:r>
    </w:p>
    <w:tbl>
      <w:tblPr>
        <w:tblStyle w:val="Tabulka1"/>
        <w:tblW w:w="8732" w:type="dxa"/>
        <w:tblLayout w:type="fixed"/>
        <w:tblLook w:val="04A0" w:firstRow="1" w:lastRow="0" w:firstColumn="1" w:lastColumn="0" w:noHBand="0" w:noVBand="1"/>
      </w:tblPr>
      <w:tblGrid>
        <w:gridCol w:w="930"/>
        <w:gridCol w:w="3465"/>
        <w:gridCol w:w="992"/>
        <w:gridCol w:w="886"/>
        <w:gridCol w:w="1177"/>
        <w:gridCol w:w="1282"/>
      </w:tblGrid>
      <w:tr w:rsidR="00ED7B25" w:rsidRPr="0034023F" w:rsidTr="00EE52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left w:val="single" w:sz="4" w:space="0" w:color="auto"/>
              <w:bottom w:val="single" w:sz="2" w:space="0" w:color="auto"/>
            </w:tcBorders>
          </w:tcPr>
          <w:p w:rsidR="00ED7B25" w:rsidRPr="0034023F" w:rsidRDefault="00ED7B25" w:rsidP="00930C4E">
            <w:pPr>
              <w:pStyle w:val="Tabulka"/>
              <w:rPr>
                <w:rStyle w:val="Tun"/>
                <w:rFonts w:ascii="Arial" w:hAnsi="Arial" w:cs="Arial"/>
                <w:sz w:val="19"/>
                <w:szCs w:val="19"/>
              </w:rPr>
            </w:pPr>
            <w:r w:rsidRPr="0034023F">
              <w:rPr>
                <w:rStyle w:val="Tun"/>
                <w:rFonts w:ascii="Arial" w:hAnsi="Arial" w:cs="Arial"/>
                <w:sz w:val="19"/>
                <w:szCs w:val="19"/>
              </w:rPr>
              <w:t>Položka</w:t>
            </w:r>
          </w:p>
        </w:tc>
        <w:tc>
          <w:tcPr>
            <w:tcW w:w="3465" w:type="dxa"/>
            <w:tcBorders>
              <w:bottom w:val="single" w:sz="2"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Style w:val="Tun"/>
                <w:rFonts w:ascii="Arial" w:hAnsi="Arial" w:cs="Arial"/>
                <w:b w:val="0"/>
                <w:i/>
                <w:color w:val="00B050"/>
                <w:sz w:val="19"/>
                <w:szCs w:val="19"/>
              </w:rPr>
            </w:pPr>
            <w:r w:rsidRPr="0034023F">
              <w:rPr>
                <w:rStyle w:val="Tun"/>
                <w:rFonts w:ascii="Arial" w:hAnsi="Arial" w:cs="Arial"/>
                <w:sz w:val="19"/>
                <w:szCs w:val="19"/>
              </w:rPr>
              <w:t xml:space="preserve">Popis    </w:t>
            </w:r>
          </w:p>
        </w:tc>
        <w:tc>
          <w:tcPr>
            <w:tcW w:w="992" w:type="dxa"/>
            <w:tcBorders>
              <w:bottom w:val="single" w:sz="2"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Style w:val="Tun"/>
                <w:rFonts w:ascii="Arial" w:hAnsi="Arial" w:cs="Arial"/>
                <w:sz w:val="19"/>
                <w:szCs w:val="19"/>
              </w:rPr>
            </w:pPr>
            <w:r w:rsidRPr="0034023F">
              <w:rPr>
                <w:rStyle w:val="Tun"/>
                <w:rFonts w:ascii="Arial" w:hAnsi="Arial" w:cs="Arial"/>
                <w:sz w:val="19"/>
                <w:szCs w:val="19"/>
              </w:rPr>
              <w:t>Měrná jednotka</w:t>
            </w:r>
          </w:p>
        </w:tc>
        <w:tc>
          <w:tcPr>
            <w:tcW w:w="886" w:type="dxa"/>
            <w:tcBorders>
              <w:bottom w:val="single" w:sz="2"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Style w:val="Tun"/>
                <w:rFonts w:ascii="Arial" w:hAnsi="Arial" w:cs="Arial"/>
                <w:sz w:val="19"/>
                <w:szCs w:val="19"/>
              </w:rPr>
            </w:pPr>
            <w:r w:rsidRPr="0034023F">
              <w:rPr>
                <w:rStyle w:val="Tun"/>
                <w:rFonts w:ascii="Arial" w:hAnsi="Arial" w:cs="Arial"/>
                <w:sz w:val="19"/>
                <w:szCs w:val="19"/>
              </w:rPr>
              <w:t>Množství *)</w:t>
            </w:r>
          </w:p>
        </w:tc>
        <w:tc>
          <w:tcPr>
            <w:tcW w:w="1177" w:type="dxa"/>
            <w:tcBorders>
              <w:bottom w:val="single" w:sz="2"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Style w:val="Tun"/>
                <w:rFonts w:ascii="Arial" w:hAnsi="Arial" w:cs="Arial"/>
                <w:sz w:val="19"/>
                <w:szCs w:val="19"/>
              </w:rPr>
            </w:pPr>
            <w:proofErr w:type="spellStart"/>
            <w:r w:rsidRPr="0034023F">
              <w:rPr>
                <w:rStyle w:val="Tun"/>
                <w:rFonts w:ascii="Arial" w:hAnsi="Arial" w:cs="Arial"/>
                <w:sz w:val="19"/>
                <w:szCs w:val="19"/>
              </w:rPr>
              <w:t>Jedn</w:t>
            </w:r>
            <w:proofErr w:type="spellEnd"/>
            <w:r w:rsidRPr="0034023F">
              <w:rPr>
                <w:rStyle w:val="Tun"/>
                <w:rFonts w:ascii="Arial" w:hAnsi="Arial" w:cs="Arial"/>
                <w:sz w:val="19"/>
                <w:szCs w:val="19"/>
              </w:rPr>
              <w:t xml:space="preserve">. </w:t>
            </w:r>
            <w:proofErr w:type="gramStart"/>
            <w:r w:rsidRPr="0034023F">
              <w:rPr>
                <w:rStyle w:val="Tun"/>
                <w:rFonts w:ascii="Arial" w:hAnsi="Arial" w:cs="Arial"/>
                <w:sz w:val="19"/>
                <w:szCs w:val="19"/>
              </w:rPr>
              <w:t>cena</w:t>
            </w:r>
            <w:proofErr w:type="gramEnd"/>
            <w:r w:rsidRPr="0034023F">
              <w:rPr>
                <w:rStyle w:val="Tun"/>
                <w:rFonts w:ascii="Arial" w:hAnsi="Arial" w:cs="Arial"/>
                <w:sz w:val="19"/>
                <w:szCs w:val="19"/>
              </w:rPr>
              <w:t xml:space="preserve"> *)</w:t>
            </w:r>
          </w:p>
        </w:tc>
        <w:tc>
          <w:tcPr>
            <w:tcW w:w="1282" w:type="dxa"/>
            <w:tcBorders>
              <w:bottom w:val="single" w:sz="2" w:space="0" w:color="auto"/>
              <w:right w:val="single" w:sz="4" w:space="0" w:color="auto"/>
            </w:tcBorders>
          </w:tcPr>
          <w:p w:rsidR="00ED7B25" w:rsidRPr="0034023F" w:rsidRDefault="00ED7B25" w:rsidP="00930C4E">
            <w:pPr>
              <w:pStyle w:val="Tabulka"/>
              <w:cnfStyle w:val="100000000000" w:firstRow="1" w:lastRow="0" w:firstColumn="0" w:lastColumn="0" w:oddVBand="0" w:evenVBand="0" w:oddHBand="0" w:evenHBand="0" w:firstRowFirstColumn="0" w:firstRowLastColumn="0" w:lastRowFirstColumn="0" w:lastRowLastColumn="0"/>
              <w:rPr>
                <w:rStyle w:val="Tun"/>
                <w:rFonts w:ascii="Arial" w:hAnsi="Arial" w:cs="Arial"/>
                <w:sz w:val="19"/>
                <w:szCs w:val="19"/>
              </w:rPr>
            </w:pPr>
            <w:r w:rsidRPr="0034023F">
              <w:rPr>
                <w:rStyle w:val="Tun"/>
                <w:rFonts w:ascii="Arial" w:hAnsi="Arial" w:cs="Arial"/>
                <w:sz w:val="19"/>
                <w:szCs w:val="19"/>
              </w:rPr>
              <w:t>Cena celkem *)</w:t>
            </w:r>
          </w:p>
        </w:tc>
      </w:tr>
      <w:tr w:rsidR="00ED7B25" w:rsidRPr="0034023F" w:rsidTr="00EE522D">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10</w:t>
            </w:r>
          </w:p>
        </w:tc>
        <w:tc>
          <w:tcPr>
            <w:tcW w:w="3465"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r w:rsidRPr="0034023F">
              <w:rPr>
                <w:rFonts w:ascii="Arial" w:eastAsia="Verdana" w:hAnsi="Arial" w:cs="Arial"/>
                <w:sz w:val="19"/>
                <w:szCs w:val="19"/>
              </w:rPr>
              <w:t>Zajištění mapových podkladů</w:t>
            </w:r>
          </w:p>
        </w:tc>
        <w:tc>
          <w:tcPr>
            <w:tcW w:w="992"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886"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2"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EE522D">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11</w:t>
            </w:r>
          </w:p>
        </w:tc>
        <w:tc>
          <w:tcPr>
            <w:tcW w:w="3465"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r w:rsidRPr="0034023F">
              <w:rPr>
                <w:rFonts w:ascii="Arial" w:eastAsia="Verdana" w:hAnsi="Arial" w:cs="Arial"/>
                <w:sz w:val="19"/>
                <w:szCs w:val="19"/>
              </w:rPr>
              <w:t>Geodetické práce</w:t>
            </w:r>
          </w:p>
        </w:tc>
        <w:tc>
          <w:tcPr>
            <w:tcW w:w="992"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886"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2"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EE522D">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12</w:t>
            </w:r>
          </w:p>
        </w:tc>
        <w:tc>
          <w:tcPr>
            <w:tcW w:w="3465"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eastAsia="Verdana" w:hAnsi="Arial" w:cs="Arial"/>
                <w:sz w:val="19"/>
                <w:szCs w:val="19"/>
              </w:rPr>
            </w:pPr>
            <w:r w:rsidRPr="0034023F">
              <w:rPr>
                <w:rFonts w:ascii="Arial" w:eastAsia="Verdana" w:hAnsi="Arial" w:cs="Arial"/>
                <w:sz w:val="19"/>
                <w:szCs w:val="19"/>
              </w:rPr>
              <w:t>Dendrologický, biologický, pedologický průzkum</w:t>
            </w:r>
          </w:p>
        </w:tc>
        <w:tc>
          <w:tcPr>
            <w:tcW w:w="992"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886"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2"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EE522D">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4"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lastRenderedPageBreak/>
              <w:t>13</w:t>
            </w:r>
          </w:p>
        </w:tc>
        <w:tc>
          <w:tcPr>
            <w:tcW w:w="3465"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r w:rsidRPr="0034023F">
              <w:rPr>
                <w:rFonts w:ascii="Arial" w:eastAsia="Verdana" w:hAnsi="Arial" w:cs="Arial"/>
                <w:sz w:val="19"/>
                <w:szCs w:val="19"/>
              </w:rPr>
              <w:t>Geotechnický průzkum pro železniční spodek</w:t>
            </w:r>
          </w:p>
        </w:tc>
        <w:tc>
          <w:tcPr>
            <w:tcW w:w="992"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roofErr w:type="spellStart"/>
            <w:r w:rsidRPr="0034023F">
              <w:rPr>
                <w:rFonts w:ascii="Arial" w:hAnsi="Arial" w:cs="Arial"/>
                <w:sz w:val="19"/>
                <w:szCs w:val="19"/>
              </w:rPr>
              <w:t>kpl</w:t>
            </w:r>
            <w:proofErr w:type="spellEnd"/>
          </w:p>
        </w:tc>
        <w:tc>
          <w:tcPr>
            <w:tcW w:w="886"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4"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top w:val="single" w:sz="4" w:space="0" w:color="auto"/>
              <w:left w:val="single" w:sz="4"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14</w:t>
            </w:r>
          </w:p>
        </w:tc>
        <w:tc>
          <w:tcPr>
            <w:tcW w:w="3465" w:type="dxa"/>
            <w:tcBorders>
              <w:top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Koordinátor BOZP v přípravě</w:t>
            </w:r>
          </w:p>
        </w:tc>
        <w:tc>
          <w:tcPr>
            <w:tcW w:w="992" w:type="dxa"/>
            <w:tcBorders>
              <w:top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886" w:type="dxa"/>
            <w:tcBorders>
              <w:top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4"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left w:val="single" w:sz="4" w:space="0" w:color="auto"/>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15</w:t>
            </w:r>
          </w:p>
        </w:tc>
        <w:tc>
          <w:tcPr>
            <w:tcW w:w="3465"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Zajištění technických podkladů pro vypracování zadávací dokumentace na výběr zhotovitele stavby dle požadavku VTP a ZTP</w:t>
            </w:r>
          </w:p>
        </w:tc>
        <w:tc>
          <w:tcPr>
            <w:tcW w:w="992"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886"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4"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17</w:t>
            </w:r>
          </w:p>
        </w:tc>
        <w:tc>
          <w:tcPr>
            <w:tcW w:w="3465"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Aktualizace posouzení vlivu stavby na životní prostředí</w:t>
            </w:r>
          </w:p>
        </w:tc>
        <w:tc>
          <w:tcPr>
            <w:tcW w:w="992"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886"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4"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18</w:t>
            </w:r>
          </w:p>
        </w:tc>
        <w:tc>
          <w:tcPr>
            <w:tcW w:w="3465"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Zajištění vydání osvědčení o shodě notifikovanou osobou v přípravě</w:t>
            </w:r>
          </w:p>
        </w:tc>
        <w:tc>
          <w:tcPr>
            <w:tcW w:w="992"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hod</w:t>
            </w:r>
          </w:p>
        </w:tc>
        <w:tc>
          <w:tcPr>
            <w:tcW w:w="886"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bottom w:val="single" w:sz="2"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ED7B25"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2" w:space="0" w:color="auto"/>
            </w:tcBorders>
          </w:tcPr>
          <w:p w:rsidR="00ED7B25" w:rsidRPr="0034023F" w:rsidRDefault="00ED7B25" w:rsidP="00930C4E">
            <w:pPr>
              <w:pStyle w:val="Tabulka"/>
              <w:rPr>
                <w:rFonts w:ascii="Arial" w:hAnsi="Arial" w:cs="Arial"/>
                <w:sz w:val="19"/>
                <w:szCs w:val="19"/>
              </w:rPr>
            </w:pPr>
            <w:r w:rsidRPr="0034023F">
              <w:rPr>
                <w:rFonts w:ascii="Arial" w:hAnsi="Arial" w:cs="Arial"/>
                <w:sz w:val="19"/>
                <w:szCs w:val="19"/>
              </w:rPr>
              <w:t>19</w:t>
            </w:r>
          </w:p>
        </w:tc>
        <w:tc>
          <w:tcPr>
            <w:tcW w:w="3465"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34023F">
              <w:rPr>
                <w:rFonts w:ascii="Arial" w:hAnsi="Arial" w:cs="Arial"/>
                <w:sz w:val="19"/>
                <w:szCs w:val="19"/>
              </w:rPr>
              <w:t>Správní poplatky</w:t>
            </w:r>
          </w:p>
        </w:tc>
        <w:tc>
          <w:tcPr>
            <w:tcW w:w="992"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886"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2"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2" w:space="0" w:color="auto"/>
              <w:right w:val="single" w:sz="4" w:space="0" w:color="auto"/>
            </w:tcBorders>
          </w:tcPr>
          <w:p w:rsidR="00ED7B25" w:rsidRPr="0034023F" w:rsidRDefault="00ED7B25" w:rsidP="00930C4E">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r w:rsidR="005A2354" w:rsidRPr="0034023F" w:rsidTr="005A2354">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single" w:sz="4" w:space="0" w:color="auto"/>
              <w:bottom w:val="single" w:sz="4" w:space="0" w:color="auto"/>
            </w:tcBorders>
          </w:tcPr>
          <w:p w:rsidR="005A2354" w:rsidRPr="0034023F" w:rsidRDefault="005A2354" w:rsidP="005A2354">
            <w:pPr>
              <w:pStyle w:val="Tabulka"/>
              <w:rPr>
                <w:rFonts w:ascii="Arial" w:hAnsi="Arial" w:cs="Arial"/>
                <w:sz w:val="19"/>
                <w:szCs w:val="19"/>
              </w:rPr>
            </w:pPr>
            <w:r w:rsidRPr="0034023F">
              <w:rPr>
                <w:rFonts w:ascii="Arial" w:hAnsi="Arial" w:cs="Arial"/>
                <w:sz w:val="19"/>
                <w:szCs w:val="19"/>
              </w:rPr>
              <w:t>20</w:t>
            </w:r>
          </w:p>
        </w:tc>
        <w:tc>
          <w:tcPr>
            <w:tcW w:w="3465" w:type="dxa"/>
            <w:tcBorders>
              <w:top w:val="single" w:sz="2" w:space="0" w:color="auto"/>
              <w:bottom w:val="single" w:sz="4" w:space="0" w:color="auto"/>
            </w:tcBorders>
          </w:tcPr>
          <w:p w:rsidR="005A2354" w:rsidRPr="0034023F" w:rsidRDefault="005A2354" w:rsidP="005A2354">
            <w:pPr>
              <w:cnfStyle w:val="000000000000" w:firstRow="0" w:lastRow="0" w:firstColumn="0" w:lastColumn="0" w:oddVBand="0" w:evenVBand="0" w:oddHBand="0" w:evenHBand="0" w:firstRowFirstColumn="0" w:firstRowLastColumn="0" w:lastRowFirstColumn="0" w:lastRowLastColumn="0"/>
              <w:rPr>
                <w:rFonts w:ascii="Arial" w:hAnsi="Arial" w:cs="Arial"/>
                <w:sz w:val="19"/>
                <w:szCs w:val="19"/>
                <w:lang w:eastAsia="en-US"/>
              </w:rPr>
            </w:pPr>
            <w:r w:rsidRPr="0034023F">
              <w:rPr>
                <w:rFonts w:ascii="Arial" w:hAnsi="Arial" w:cs="Arial"/>
                <w:sz w:val="19"/>
                <w:szCs w:val="19"/>
              </w:rPr>
              <w:t xml:space="preserve">Rozsah činnosti při výkonu autorského dozoru projektanta v rámci realizace stavby </w:t>
            </w:r>
          </w:p>
        </w:tc>
        <w:tc>
          <w:tcPr>
            <w:tcW w:w="992" w:type="dxa"/>
            <w:tcBorders>
              <w:top w:val="single" w:sz="2" w:space="0" w:color="auto"/>
              <w:bottom w:val="single" w:sz="4" w:space="0" w:color="auto"/>
            </w:tcBorders>
          </w:tcPr>
          <w:p w:rsidR="005A2354" w:rsidRPr="0034023F" w:rsidRDefault="005A2354" w:rsidP="005A2354">
            <w:pPr>
              <w:cnfStyle w:val="000000000000" w:firstRow="0" w:lastRow="0" w:firstColumn="0" w:lastColumn="0" w:oddVBand="0" w:evenVBand="0" w:oddHBand="0" w:evenHBand="0" w:firstRowFirstColumn="0" w:firstRowLastColumn="0" w:lastRowFirstColumn="0" w:lastRowLastColumn="0"/>
              <w:rPr>
                <w:rFonts w:ascii="Arial" w:hAnsi="Arial" w:cs="Arial"/>
                <w:sz w:val="19"/>
                <w:szCs w:val="19"/>
                <w:lang w:eastAsia="en-US"/>
              </w:rPr>
            </w:pPr>
            <w:r w:rsidRPr="0034023F">
              <w:rPr>
                <w:rFonts w:ascii="Arial" w:hAnsi="Arial" w:cs="Arial"/>
                <w:sz w:val="19"/>
                <w:szCs w:val="19"/>
              </w:rPr>
              <w:t>hod</w:t>
            </w:r>
          </w:p>
        </w:tc>
        <w:tc>
          <w:tcPr>
            <w:tcW w:w="886" w:type="dxa"/>
            <w:tcBorders>
              <w:top w:val="single" w:sz="2" w:space="0" w:color="auto"/>
              <w:bottom w:val="single" w:sz="4" w:space="0" w:color="auto"/>
            </w:tcBorders>
          </w:tcPr>
          <w:p w:rsidR="005A2354" w:rsidRPr="0034023F" w:rsidRDefault="005A2354" w:rsidP="005A2354">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177" w:type="dxa"/>
            <w:tcBorders>
              <w:top w:val="single" w:sz="2" w:space="0" w:color="auto"/>
              <w:bottom w:val="single" w:sz="4" w:space="0" w:color="auto"/>
            </w:tcBorders>
          </w:tcPr>
          <w:p w:rsidR="005A2354" w:rsidRPr="0034023F" w:rsidRDefault="005A2354" w:rsidP="005A2354">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c>
          <w:tcPr>
            <w:tcW w:w="1282" w:type="dxa"/>
            <w:tcBorders>
              <w:top w:val="single" w:sz="2" w:space="0" w:color="auto"/>
              <w:bottom w:val="single" w:sz="4" w:space="0" w:color="auto"/>
              <w:right w:val="single" w:sz="4" w:space="0" w:color="auto"/>
            </w:tcBorders>
          </w:tcPr>
          <w:p w:rsidR="005A2354" w:rsidRPr="0034023F" w:rsidRDefault="005A2354" w:rsidP="005A2354">
            <w:pPr>
              <w:pStyle w:val="Tabulka"/>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00A02E1F">
        <w:rPr>
          <w:i w:val="0"/>
          <w:sz w:val="19"/>
          <w:szCs w:val="19"/>
        </w:rPr>
        <w:t xml:space="preserve">fakturace ceny </w:t>
      </w:r>
      <w:r w:rsidR="000207DE">
        <w:rPr>
          <w:b/>
          <w:i w:val="0"/>
          <w:sz w:val="19"/>
          <w:szCs w:val="19"/>
        </w:rPr>
        <w:t>nejvýše však 2</w:t>
      </w:r>
      <w:r w:rsidRPr="00C101E3">
        <w:rPr>
          <w:b/>
          <w:i w:val="0"/>
          <w:sz w:val="19"/>
          <w:szCs w:val="19"/>
        </w:rPr>
        <w:t>0% celkové ceny díla</w:t>
      </w:r>
      <w:r w:rsidR="00A947A9">
        <w:rPr>
          <w:b/>
          <w:i w:val="0"/>
          <w:sz w:val="19"/>
          <w:szCs w:val="19"/>
        </w:rPr>
        <w:t xml:space="preserve"> </w:t>
      </w:r>
      <w:r w:rsidR="00A947A9" w:rsidRPr="00A947A9">
        <w:rPr>
          <w:i w:val="0"/>
          <w:sz w:val="19"/>
          <w:szCs w:val="19"/>
        </w:rPr>
        <w:t>(bez DPH)</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6AFF" w:rsidRDefault="00E95CD9" w:rsidP="00E95CD9">
      <w:pPr>
        <w:pStyle w:val="Nadpis7"/>
        <w:numPr>
          <w:ilvl w:val="0"/>
          <w:numId w:val="25"/>
        </w:numPr>
        <w:tabs>
          <w:tab w:val="clear" w:pos="4536"/>
        </w:tabs>
        <w:spacing w:after="120"/>
        <w:jc w:val="both"/>
        <w:rPr>
          <w:i w:val="0"/>
          <w:sz w:val="19"/>
          <w:szCs w:val="19"/>
        </w:rPr>
      </w:pPr>
      <w:r w:rsidRPr="001F6AFF">
        <w:rPr>
          <w:i w:val="0"/>
          <w:sz w:val="19"/>
          <w:szCs w:val="19"/>
        </w:rPr>
        <w:t xml:space="preserve">Předání díla dle odst. 4.2 </w:t>
      </w:r>
      <w:r w:rsidR="0016700F" w:rsidRPr="001F6AFF">
        <w:rPr>
          <w:i w:val="0"/>
          <w:sz w:val="19"/>
          <w:szCs w:val="19"/>
        </w:rPr>
        <w:t>s</w:t>
      </w:r>
      <w:r w:rsidRPr="001F6AFF">
        <w:rPr>
          <w:i w:val="0"/>
          <w:sz w:val="19"/>
          <w:szCs w:val="19"/>
        </w:rPr>
        <w:t xml:space="preserve">mlouvy - </w:t>
      </w:r>
      <w:r w:rsidRPr="001F6AFF">
        <w:rPr>
          <w:b/>
          <w:i w:val="0"/>
          <w:sz w:val="19"/>
          <w:szCs w:val="19"/>
        </w:rPr>
        <w:t>2. dílčí etapa plnění</w:t>
      </w:r>
      <w:r w:rsidR="004038D4" w:rsidRPr="001F6AFF">
        <w:rPr>
          <w:b/>
          <w:i w:val="0"/>
          <w:sz w:val="19"/>
          <w:szCs w:val="19"/>
        </w:rPr>
        <w:t xml:space="preserve"> - </w:t>
      </w:r>
      <w:r w:rsidRPr="001F6AFF">
        <w:rPr>
          <w:sz w:val="19"/>
          <w:szCs w:val="19"/>
        </w:rPr>
        <w:t xml:space="preserve"> </w:t>
      </w:r>
      <w:r w:rsidR="00A02E1F" w:rsidRPr="001F6AFF">
        <w:rPr>
          <w:i w:val="0"/>
          <w:sz w:val="19"/>
          <w:szCs w:val="19"/>
        </w:rPr>
        <w:t xml:space="preserve">fakturace ceny </w:t>
      </w:r>
      <w:r w:rsidR="00A02E1F" w:rsidRPr="001F6AFF">
        <w:rPr>
          <w:b/>
          <w:i w:val="0"/>
          <w:sz w:val="19"/>
          <w:szCs w:val="19"/>
        </w:rPr>
        <w:t xml:space="preserve">nejvýše však 30% celkové ceny díla </w:t>
      </w:r>
      <w:r w:rsidR="00A02E1F" w:rsidRPr="001F6AFF">
        <w:rPr>
          <w:i w:val="0"/>
          <w:sz w:val="19"/>
          <w:szCs w:val="19"/>
        </w:rPr>
        <w:t>(bez DPH)</w:t>
      </w:r>
      <w:r w:rsidRPr="001F6AFF">
        <w:rPr>
          <w:i w:val="0"/>
          <w:sz w:val="19"/>
          <w:szCs w:val="19"/>
        </w:rPr>
        <w:t xml:space="preserve">. </w:t>
      </w:r>
      <w:r w:rsidR="00A51526" w:rsidRPr="001F6AFF">
        <w:rPr>
          <w:i w:val="0"/>
          <w:sz w:val="19"/>
          <w:szCs w:val="19"/>
        </w:rPr>
        <w:t>Daňový doklad</w:t>
      </w:r>
      <w:r w:rsidR="00A51526" w:rsidRPr="001F6AFF">
        <w:rPr>
          <w:sz w:val="19"/>
          <w:szCs w:val="19"/>
        </w:rPr>
        <w:t xml:space="preserve"> - </w:t>
      </w:r>
      <w:r w:rsidR="00A51526" w:rsidRPr="001F6AFF">
        <w:rPr>
          <w:i w:val="0"/>
          <w:sz w:val="19"/>
          <w:szCs w:val="19"/>
        </w:rPr>
        <w:t>f</w:t>
      </w:r>
      <w:r w:rsidRPr="001F6AFF">
        <w:rPr>
          <w:i w:val="0"/>
          <w:sz w:val="19"/>
          <w:szCs w:val="19"/>
        </w:rPr>
        <w:t xml:space="preserve">akturu v celkové výši </w:t>
      </w:r>
      <w:r w:rsidRPr="001F6AFF">
        <w:rPr>
          <w:i w:val="0"/>
          <w:sz w:val="19"/>
          <w:szCs w:val="19"/>
          <w:highlight w:val="yellow"/>
        </w:rPr>
        <w:t xml:space="preserve">……. </w:t>
      </w:r>
      <w:r w:rsidRPr="001F6AFF">
        <w:rPr>
          <w:b/>
          <w:i w:val="0"/>
          <w:sz w:val="19"/>
          <w:szCs w:val="19"/>
          <w:highlight w:val="yellow"/>
        </w:rPr>
        <w:t>,-</w:t>
      </w:r>
      <w:r w:rsidRPr="001F6AFF">
        <w:rPr>
          <w:b/>
          <w:i w:val="0"/>
          <w:sz w:val="19"/>
          <w:szCs w:val="19"/>
        </w:rPr>
        <w:t xml:space="preserve"> Kč</w:t>
      </w:r>
      <w:r w:rsidR="00332EFB" w:rsidRPr="001F6AFF">
        <w:rPr>
          <w:b/>
          <w:i w:val="0"/>
          <w:sz w:val="19"/>
          <w:szCs w:val="19"/>
        </w:rPr>
        <w:t xml:space="preserve"> </w:t>
      </w:r>
      <w:r w:rsidR="00332EFB" w:rsidRPr="001F6AFF">
        <w:rPr>
          <w:i w:val="0"/>
          <w:sz w:val="19"/>
          <w:szCs w:val="19"/>
        </w:rPr>
        <w:t>(bez DPH)</w:t>
      </w:r>
      <w:r w:rsidRPr="001F6AFF">
        <w:rPr>
          <w:i w:val="0"/>
          <w:sz w:val="19"/>
          <w:szCs w:val="19"/>
        </w:rPr>
        <w:t xml:space="preserve"> </w:t>
      </w:r>
      <w:r w:rsidR="001F21EC" w:rsidRPr="001F6AFF">
        <w:rPr>
          <w:i w:val="0"/>
          <w:sz w:val="19"/>
          <w:szCs w:val="19"/>
        </w:rPr>
        <w:t xml:space="preserve">je zhotovitel oprávněn vystavit </w:t>
      </w:r>
      <w:r w:rsidRPr="001F6AFF">
        <w:rPr>
          <w:i w:val="0"/>
          <w:sz w:val="19"/>
          <w:szCs w:val="19"/>
        </w:rPr>
        <w:t xml:space="preserve">do </w:t>
      </w:r>
      <w:r w:rsidRPr="001F6AFF">
        <w:rPr>
          <w:b/>
          <w:i w:val="0"/>
          <w:sz w:val="19"/>
          <w:szCs w:val="19"/>
        </w:rPr>
        <w:t xml:space="preserve">15 dnů </w:t>
      </w:r>
      <w:r w:rsidR="001F21EC" w:rsidRPr="001F6AFF">
        <w:rPr>
          <w:b/>
          <w:i w:val="0"/>
          <w:sz w:val="19"/>
          <w:szCs w:val="19"/>
        </w:rPr>
        <w:t xml:space="preserve">po podpisu předávacího </w:t>
      </w:r>
      <w:proofErr w:type="gramStart"/>
      <w:r w:rsidR="001F21EC" w:rsidRPr="001F6AFF">
        <w:rPr>
          <w:b/>
          <w:i w:val="0"/>
          <w:sz w:val="19"/>
          <w:szCs w:val="19"/>
        </w:rPr>
        <w:t>protokolu.</w:t>
      </w:r>
      <w:r w:rsidR="001F21EC" w:rsidRPr="001F6AFF">
        <w:rPr>
          <w:i w:val="0"/>
          <w:sz w:val="19"/>
          <w:szCs w:val="19"/>
        </w:rPr>
        <w:t>.</w:t>
      </w:r>
      <w:proofErr w:type="gramEnd"/>
    </w:p>
    <w:p w:rsidR="0081193E" w:rsidRPr="001F6AFF" w:rsidRDefault="0081193E" w:rsidP="0081193E">
      <w:pPr>
        <w:pStyle w:val="Odstavecseseznamem"/>
        <w:numPr>
          <w:ilvl w:val="0"/>
          <w:numId w:val="25"/>
        </w:numPr>
        <w:rPr>
          <w:rFonts w:ascii="Arial" w:hAnsi="Arial" w:cs="Arial"/>
          <w:sz w:val="19"/>
          <w:szCs w:val="19"/>
        </w:rPr>
      </w:pPr>
      <w:r w:rsidRPr="001F6AFF">
        <w:rPr>
          <w:rFonts w:ascii="Arial" w:hAnsi="Arial" w:cs="Arial"/>
          <w:sz w:val="19"/>
          <w:szCs w:val="19"/>
        </w:rPr>
        <w:t>Předání díla dle odst. 4.2 smlouvy - 3. dílčí etapa plnění – termín bez fakturace</w:t>
      </w:r>
      <w:r w:rsidR="00D207E9" w:rsidRPr="001F6AFF">
        <w:rPr>
          <w:rFonts w:ascii="Arial" w:hAnsi="Arial" w:cs="Arial"/>
          <w:sz w:val="19"/>
          <w:szCs w:val="19"/>
        </w:rPr>
        <w:t>.</w:t>
      </w:r>
    </w:p>
    <w:p w:rsidR="0081193E" w:rsidRPr="001F6AFF" w:rsidRDefault="0081193E" w:rsidP="0081193E">
      <w:pPr>
        <w:pStyle w:val="Odstavecseseznamem"/>
        <w:ind w:left="927"/>
        <w:rPr>
          <w:rFonts w:ascii="Arial" w:hAnsi="Arial" w:cs="Arial"/>
          <w:sz w:val="19"/>
          <w:szCs w:val="19"/>
        </w:rPr>
      </w:pPr>
    </w:p>
    <w:p w:rsidR="00E95CD9" w:rsidRPr="00DB245B" w:rsidRDefault="00E95CD9" w:rsidP="00E95CD9">
      <w:pPr>
        <w:pStyle w:val="Nadpis7"/>
        <w:numPr>
          <w:ilvl w:val="0"/>
          <w:numId w:val="25"/>
        </w:numPr>
        <w:tabs>
          <w:tab w:val="clear" w:pos="4536"/>
        </w:tabs>
        <w:spacing w:after="120"/>
        <w:jc w:val="both"/>
        <w:rPr>
          <w:sz w:val="19"/>
          <w:szCs w:val="19"/>
        </w:rPr>
      </w:pPr>
      <w:r w:rsidRPr="001F6AFF">
        <w:rPr>
          <w:i w:val="0"/>
          <w:sz w:val="19"/>
          <w:szCs w:val="19"/>
        </w:rPr>
        <w:t xml:space="preserve">Předání díla dle odst. 4.2 </w:t>
      </w:r>
      <w:r w:rsidR="0016700F" w:rsidRPr="001F6AFF">
        <w:rPr>
          <w:i w:val="0"/>
          <w:sz w:val="19"/>
          <w:szCs w:val="19"/>
        </w:rPr>
        <w:t>s</w:t>
      </w:r>
      <w:r w:rsidRPr="001F6AFF">
        <w:rPr>
          <w:i w:val="0"/>
          <w:sz w:val="19"/>
          <w:szCs w:val="19"/>
        </w:rPr>
        <w:t>mlouvy</w:t>
      </w:r>
      <w:r w:rsidRPr="001F6AFF">
        <w:rPr>
          <w:sz w:val="19"/>
          <w:szCs w:val="19"/>
        </w:rPr>
        <w:t xml:space="preserve"> – </w:t>
      </w:r>
      <w:r w:rsidR="00A02E1F" w:rsidRPr="001F6AFF">
        <w:rPr>
          <w:b/>
          <w:i w:val="0"/>
          <w:sz w:val="19"/>
          <w:szCs w:val="19"/>
        </w:rPr>
        <w:t>4</w:t>
      </w:r>
      <w:r w:rsidRPr="001F6AFF">
        <w:rPr>
          <w:b/>
          <w:i w:val="0"/>
          <w:sz w:val="19"/>
          <w:szCs w:val="19"/>
        </w:rPr>
        <w:t>. dílčí etapa plnění</w:t>
      </w:r>
      <w:r w:rsidR="001F21EC" w:rsidRPr="001F6AFF">
        <w:rPr>
          <w:b/>
          <w:i w:val="0"/>
          <w:sz w:val="19"/>
          <w:szCs w:val="19"/>
        </w:rPr>
        <w:t xml:space="preserve">- </w:t>
      </w:r>
      <w:r w:rsidR="00A02E1F" w:rsidRPr="001F6AFF">
        <w:rPr>
          <w:i w:val="0"/>
          <w:sz w:val="19"/>
          <w:szCs w:val="19"/>
        </w:rPr>
        <w:t xml:space="preserve"> fakturace ceny </w:t>
      </w:r>
      <w:r w:rsidR="00A02E1F" w:rsidRPr="001F6AFF">
        <w:rPr>
          <w:b/>
          <w:i w:val="0"/>
          <w:sz w:val="19"/>
          <w:szCs w:val="19"/>
        </w:rPr>
        <w:t xml:space="preserve">nejvýše však 42% </w:t>
      </w:r>
      <w:r w:rsidR="00A02E1F" w:rsidRPr="00C101E3">
        <w:rPr>
          <w:b/>
          <w:i w:val="0"/>
          <w:sz w:val="19"/>
          <w:szCs w:val="19"/>
        </w:rPr>
        <w:t>celkové ceny díla</w:t>
      </w:r>
      <w:r w:rsidR="00A02E1F">
        <w:rPr>
          <w:b/>
          <w:i w:val="0"/>
          <w:sz w:val="19"/>
          <w:szCs w:val="19"/>
        </w:rPr>
        <w:t xml:space="preserve"> </w:t>
      </w:r>
      <w:r w:rsidR="00A02E1F" w:rsidRPr="00A947A9">
        <w:rPr>
          <w:i w:val="0"/>
          <w:sz w:val="19"/>
          <w:szCs w:val="19"/>
        </w:rPr>
        <w:t>(bez DPH)</w:t>
      </w:r>
      <w:r w:rsidR="00A02E1F">
        <w:rPr>
          <w:b/>
          <w:i w:val="0"/>
          <w:sz w:val="19"/>
          <w:szCs w:val="19"/>
        </w:rPr>
        <w:t xml:space="preserve">, </w:t>
      </w:r>
      <w:r w:rsidRPr="0016700F">
        <w:rPr>
          <w:i w:val="0"/>
          <w:sz w:val="19"/>
          <w:szCs w:val="19"/>
        </w:rPr>
        <w:t xml:space="preserve">(podmíněno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A02E1F" w:rsidRDefault="00A02E1F" w:rsidP="001C35DB">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5. dílčí etapa plnění - u</w:t>
      </w:r>
      <w:r w:rsidRPr="00DB245B">
        <w:rPr>
          <w:b/>
          <w:i w:val="0"/>
          <w:sz w:val="19"/>
          <w:szCs w:val="19"/>
        </w:rPr>
        <w:t>končení díla</w:t>
      </w:r>
      <w:r w:rsidRPr="00DB245B">
        <w:rPr>
          <w:b/>
          <w:sz w:val="19"/>
          <w:szCs w:val="19"/>
        </w:rPr>
        <w:t xml:space="preserve"> - </w:t>
      </w:r>
      <w:r w:rsidRPr="003E7839">
        <w:rPr>
          <w:b/>
          <w:i w:val="0"/>
          <w:sz w:val="19"/>
          <w:szCs w:val="19"/>
        </w:rPr>
        <w:t>do</w:t>
      </w:r>
      <w:r w:rsidRPr="003E7839">
        <w:rPr>
          <w:i w:val="0"/>
          <w:sz w:val="19"/>
          <w:szCs w:val="19"/>
        </w:rPr>
        <w:t xml:space="preserve"> </w:t>
      </w:r>
      <w:r w:rsidRPr="003E7839">
        <w:rPr>
          <w:sz w:val="19"/>
          <w:szCs w:val="19"/>
        </w:rPr>
        <w:t xml:space="preserve"> </w:t>
      </w:r>
      <w:r>
        <w:rPr>
          <w:b/>
          <w:i w:val="0"/>
          <w:sz w:val="19"/>
          <w:szCs w:val="19"/>
        </w:rPr>
        <w:t>07/2024</w:t>
      </w:r>
      <w:r w:rsidRPr="00DB245B">
        <w:rPr>
          <w:i w:val="0"/>
          <w:sz w:val="19"/>
          <w:szCs w:val="19"/>
        </w:rPr>
        <w:t xml:space="preserve">, fakturace ceny </w:t>
      </w:r>
      <w:r w:rsidR="001C35DB" w:rsidRPr="00E378BD">
        <w:rPr>
          <w:b/>
          <w:i w:val="0"/>
          <w:sz w:val="19"/>
          <w:szCs w:val="19"/>
        </w:rPr>
        <w:t>nejvýše však 8% celkové ceny díla (bez DPH)</w:t>
      </w:r>
      <w:r w:rsidRPr="00E378BD">
        <w:rPr>
          <w:i w:val="0"/>
          <w:sz w:val="19"/>
          <w:szCs w:val="19"/>
        </w:rPr>
        <w:t xml:space="preserve">. Daňový </w:t>
      </w:r>
      <w:r w:rsidRPr="003A25D2">
        <w:rPr>
          <w:i w:val="0"/>
          <w:sz w:val="19"/>
          <w:szCs w:val="19"/>
        </w:rPr>
        <w:t>doklad - fakturu</w:t>
      </w:r>
      <w:r w:rsidRPr="00DB245B">
        <w:rPr>
          <w:i w:val="0"/>
          <w:sz w:val="19"/>
          <w:szCs w:val="19"/>
        </w:rPr>
        <w:t xml:space="preserve">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 xml:space="preserve">(bez </w:t>
      </w:r>
      <w:r w:rsidR="003F47D0" w:rsidRPr="00332EFB">
        <w:rPr>
          <w:i w:val="0"/>
          <w:sz w:val="19"/>
          <w:szCs w:val="19"/>
        </w:rPr>
        <w:t>DPH)</w:t>
      </w:r>
      <w:r w:rsidR="003F47D0" w:rsidRPr="00DB245B">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této části díla.</w:t>
      </w:r>
    </w:p>
    <w:p w:rsidR="006916ED" w:rsidRDefault="006916ED" w:rsidP="00D207E9">
      <w:pPr>
        <w:rPr>
          <w:color w:val="FF0000"/>
        </w:rPr>
      </w:pPr>
    </w:p>
    <w:p w:rsidR="00E95CD9" w:rsidRDefault="00E95CD9" w:rsidP="00A02E1F">
      <w:pPr>
        <w:pStyle w:val="Nadpis7"/>
        <w:tabs>
          <w:tab w:val="clear" w:pos="4536"/>
        </w:tabs>
        <w:ind w:left="567"/>
        <w:jc w:val="both"/>
        <w:rPr>
          <w:b/>
          <w:i w:val="0"/>
          <w:sz w:val="19"/>
          <w:szCs w:val="19"/>
        </w:rPr>
      </w:pP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3782F">
      <w:pPr>
        <w:tabs>
          <w:tab w:val="left" w:pos="1440"/>
          <w:tab w:val="left" w:pos="2268"/>
          <w:tab w:val="left" w:pos="4536"/>
        </w:tabs>
        <w:jc w:val="both"/>
        <w:rPr>
          <w:rFonts w:ascii="Arial" w:hAnsi="Arial" w:cs="Arial"/>
          <w:sz w:val="19"/>
          <w:szCs w:val="19"/>
        </w:rPr>
      </w:pPr>
    </w:p>
    <w:p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lastRenderedPageBreak/>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lastRenderedPageBreak/>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w:t>
      </w:r>
      <w:r w:rsidR="008C7459" w:rsidRPr="008C7459">
        <w:rPr>
          <w:rFonts w:cs="Arial"/>
          <w:bCs/>
          <w:sz w:val="19"/>
          <w:szCs w:val="19"/>
        </w:rPr>
        <w:lastRenderedPageBreak/>
        <w:t xml:space="preserve">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lastRenderedPageBreak/>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lastRenderedPageBreak/>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w:t>
      </w:r>
      <w:r w:rsidRPr="00687588">
        <w:rPr>
          <w:rFonts w:ascii="Arial" w:hAnsi="Arial" w:cs="Arial"/>
          <w:bCs/>
          <w:sz w:val="19"/>
          <w:szCs w:val="19"/>
        </w:rPr>
        <w:lastRenderedPageBreak/>
        <w:t xml:space="preserve">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w:t>
      </w:r>
      <w:r w:rsidR="003F656B" w:rsidRPr="004C6A85">
        <w:rPr>
          <w:rFonts w:ascii="Arial" w:hAnsi="Arial" w:cs="Arial"/>
          <w:sz w:val="19"/>
          <w:szCs w:val="19"/>
        </w:rPr>
        <w:lastRenderedPageBreak/>
        <w:t xml:space="preserve">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 xml:space="preserve">ng. Petr </w:t>
      </w:r>
      <w:proofErr w:type="spellStart"/>
      <w:r w:rsidR="008663EB" w:rsidRPr="00DB245B">
        <w:rPr>
          <w:rFonts w:ascii="Arial" w:hAnsi="Arial" w:cs="Arial"/>
          <w:b/>
          <w:sz w:val="19"/>
          <w:szCs w:val="19"/>
        </w:rPr>
        <w:t>Hofhanzl</w:t>
      </w:r>
      <w:proofErr w:type="spellEnd"/>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D36" w:rsidRDefault="00155D36">
      <w:r>
        <w:separator/>
      </w:r>
    </w:p>
  </w:endnote>
  <w:endnote w:type="continuationSeparator" w:id="0">
    <w:p w:rsidR="00155D36" w:rsidRDefault="0015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408" w:rsidRDefault="008D340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D3408" w:rsidRDefault="008D34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408" w:rsidRPr="00D75767" w:rsidRDefault="008D340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925A6">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925A6">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408" w:rsidRPr="00D75767" w:rsidRDefault="008D340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925A6">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925A6">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D36" w:rsidRDefault="00155D36">
      <w:r>
        <w:separator/>
      </w:r>
    </w:p>
  </w:footnote>
  <w:footnote w:type="continuationSeparator" w:id="0">
    <w:p w:rsidR="00155D36" w:rsidRDefault="00155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408" w:rsidRDefault="008D3408" w:rsidP="00E96149">
    <w:pPr>
      <w:pStyle w:val="Zhlav"/>
      <w:jc w:val="right"/>
      <w:rPr>
        <w:rFonts w:ascii="Arial" w:hAnsi="Arial" w:cs="Arial"/>
        <w:bCs/>
        <w:i/>
        <w:color w:val="000000"/>
        <w:sz w:val="18"/>
        <w:szCs w:val="22"/>
      </w:rPr>
    </w:pPr>
    <w:r w:rsidRPr="00E96149">
      <w:rPr>
        <w:rFonts w:ascii="Arial" w:hAnsi="Arial" w:cs="Arial"/>
        <w:bCs/>
        <w:i/>
        <w:color w:val="000000"/>
        <w:sz w:val="18"/>
        <w:szCs w:val="22"/>
      </w:rPr>
      <w:t>Zvýšení stability skalních masivů na trati Železný Brod – Tanvald</w:t>
    </w:r>
  </w:p>
  <w:p w:rsidR="008D3408" w:rsidRPr="00E96149" w:rsidRDefault="008D3408" w:rsidP="00E96149">
    <w:pPr>
      <w:pStyle w:val="Zhlav"/>
      <w:jc w:val="right"/>
      <w:rPr>
        <w:rFonts w:ascii="Arial" w:hAnsi="Arial" w:cs="Arial"/>
        <w:bCs/>
        <w:i/>
        <w:color w:val="000000"/>
        <w:sz w:val="18"/>
        <w:szCs w:val="22"/>
        <w:highlight w:val="yellow"/>
      </w:rPr>
    </w:pPr>
    <w:r>
      <w:rPr>
        <w:rFonts w:ascii="Arial" w:hAnsi="Arial" w:cs="Arial"/>
        <w:i/>
        <w:sz w:val="18"/>
        <w:szCs w:val="18"/>
      </w:rPr>
      <w:t>DUSP</w:t>
    </w:r>
    <w:r w:rsidRPr="005F3B88">
      <w:rPr>
        <w:rFonts w:ascii="Arial" w:hAnsi="Arial" w:cs="Arial"/>
        <w:i/>
        <w:sz w:val="18"/>
        <w:szCs w:val="18"/>
      </w:rPr>
      <w:t>,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rsidR="008D3408" w:rsidRPr="00F1357D" w:rsidRDefault="008D3408"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408" w:rsidRDefault="008D3408" w:rsidP="00A03259">
    <w:pPr>
      <w:pStyle w:val="Zhlav"/>
      <w:pBdr>
        <w:bottom w:val="single" w:sz="6" w:space="1" w:color="auto"/>
      </w:pBdr>
      <w:jc w:val="right"/>
      <w:rPr>
        <w:rFonts w:ascii="Arial" w:hAnsi="Arial" w:cs="Arial"/>
        <w:i/>
        <w:sz w:val="18"/>
        <w:szCs w:val="18"/>
      </w:rPr>
    </w:pPr>
    <w:r w:rsidRPr="00E96149">
      <w:rPr>
        <w:rFonts w:ascii="Arial" w:hAnsi="Arial" w:cs="Arial"/>
        <w:i/>
        <w:sz w:val="18"/>
        <w:szCs w:val="18"/>
      </w:rPr>
      <w:t xml:space="preserve">Zvýšení stability skalních masivů na trati Železný Brod – Tanvald </w:t>
    </w:r>
  </w:p>
  <w:p w:rsidR="008D3408" w:rsidRPr="000B227B" w:rsidRDefault="008D3408"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5F3B88">
      <w:rPr>
        <w:rFonts w:ascii="Arial" w:hAnsi="Arial" w:cs="Arial"/>
        <w:i/>
        <w:sz w:val="18"/>
        <w:szCs w:val="18"/>
      </w:rPr>
      <w:t>, SR,</w:t>
    </w:r>
    <w:r>
      <w:rPr>
        <w:rFonts w:ascii="Arial" w:hAnsi="Arial" w:cs="Arial"/>
        <w:i/>
        <w:sz w:val="18"/>
        <w:szCs w:val="18"/>
      </w:rPr>
      <w:t xml:space="preserve"> PDPS, </w:t>
    </w:r>
    <w:proofErr w:type="spellStart"/>
    <w:r>
      <w:rPr>
        <w:rFonts w:ascii="Arial" w:hAnsi="Arial" w:cs="Arial"/>
        <w:i/>
        <w:sz w:val="18"/>
        <w:szCs w:val="18"/>
      </w:rPr>
      <w:t>kBOZP</w:t>
    </w:r>
    <w:proofErr w:type="spellEnd"/>
    <w:r>
      <w:rPr>
        <w:rFonts w:ascii="Arial" w:hAnsi="Arial" w:cs="Arial"/>
        <w:i/>
        <w:sz w:val="18"/>
        <w:szCs w:val="18"/>
      </w:rPr>
      <w:t>, AD</w:t>
    </w:r>
  </w:p>
  <w:p w:rsidR="008D3408" w:rsidRPr="004A6A97" w:rsidRDefault="008D340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7AAC94"/>
    <w:lvl w:ilvl="0" w:tplc="45264750">
      <w:start w:val="1"/>
      <w:numFmt w:val="lowerLetter"/>
      <w:lvlText w:val="%1)"/>
      <w:lvlJc w:val="left"/>
      <w:pPr>
        <w:ind w:left="927" w:hanging="360"/>
      </w:pPr>
      <w:rPr>
        <w:rFonts w:ascii="Arial" w:hAnsi="Arial" w:cs="Arial" w:hint="default"/>
        <w:b w:val="0"/>
        <w:i w:val="0"/>
        <w:sz w:val="19"/>
        <w:szCs w:val="19"/>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6A71FC9"/>
    <w:multiLevelType w:val="hybridMultilevel"/>
    <w:tmpl w:val="5D7AAC94"/>
    <w:lvl w:ilvl="0" w:tplc="45264750">
      <w:start w:val="1"/>
      <w:numFmt w:val="lowerLetter"/>
      <w:lvlText w:val="%1)"/>
      <w:lvlJc w:val="left"/>
      <w:pPr>
        <w:ind w:left="927" w:hanging="360"/>
      </w:pPr>
      <w:rPr>
        <w:rFonts w:ascii="Arial" w:hAnsi="Arial" w:cs="Arial" w:hint="default"/>
        <w:b w:val="0"/>
        <w:i w:val="0"/>
        <w:sz w:val="19"/>
        <w:szCs w:val="19"/>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644"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07DE"/>
    <w:rsid w:val="00031620"/>
    <w:rsid w:val="00033A17"/>
    <w:rsid w:val="00034E29"/>
    <w:rsid w:val="00040544"/>
    <w:rsid w:val="00045BB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6DC8"/>
    <w:rsid w:val="00087EFF"/>
    <w:rsid w:val="00090527"/>
    <w:rsid w:val="0009123C"/>
    <w:rsid w:val="000929D0"/>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474F"/>
    <w:rsid w:val="000F51CC"/>
    <w:rsid w:val="000F624D"/>
    <w:rsid w:val="000F69FF"/>
    <w:rsid w:val="00103044"/>
    <w:rsid w:val="00113332"/>
    <w:rsid w:val="00122DC9"/>
    <w:rsid w:val="00131587"/>
    <w:rsid w:val="0013535F"/>
    <w:rsid w:val="00135ECF"/>
    <w:rsid w:val="00136EB5"/>
    <w:rsid w:val="001373D5"/>
    <w:rsid w:val="0014279C"/>
    <w:rsid w:val="00151202"/>
    <w:rsid w:val="00155D36"/>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B545F"/>
    <w:rsid w:val="001C1C0E"/>
    <w:rsid w:val="001C1FA9"/>
    <w:rsid w:val="001C2380"/>
    <w:rsid w:val="001C2772"/>
    <w:rsid w:val="001C34D9"/>
    <w:rsid w:val="001C35DB"/>
    <w:rsid w:val="001D4F34"/>
    <w:rsid w:val="001E07FC"/>
    <w:rsid w:val="001E21AA"/>
    <w:rsid w:val="001F1583"/>
    <w:rsid w:val="001F21EC"/>
    <w:rsid w:val="001F339E"/>
    <w:rsid w:val="001F3860"/>
    <w:rsid w:val="001F522C"/>
    <w:rsid w:val="001F5650"/>
    <w:rsid w:val="001F60F9"/>
    <w:rsid w:val="001F6AFF"/>
    <w:rsid w:val="00200510"/>
    <w:rsid w:val="002007B5"/>
    <w:rsid w:val="00201BAE"/>
    <w:rsid w:val="00203F38"/>
    <w:rsid w:val="00204B13"/>
    <w:rsid w:val="00210537"/>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0B27"/>
    <w:rsid w:val="002F33DD"/>
    <w:rsid w:val="00305E68"/>
    <w:rsid w:val="003065DF"/>
    <w:rsid w:val="0031014C"/>
    <w:rsid w:val="00311CEB"/>
    <w:rsid w:val="00313B4C"/>
    <w:rsid w:val="00317630"/>
    <w:rsid w:val="00323941"/>
    <w:rsid w:val="00325E23"/>
    <w:rsid w:val="00330598"/>
    <w:rsid w:val="00332EFB"/>
    <w:rsid w:val="0033438B"/>
    <w:rsid w:val="0034023F"/>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C5595"/>
    <w:rsid w:val="003C6AD1"/>
    <w:rsid w:val="003D27E9"/>
    <w:rsid w:val="003E7DCB"/>
    <w:rsid w:val="003F1484"/>
    <w:rsid w:val="003F4290"/>
    <w:rsid w:val="003F47D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25A6"/>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432"/>
    <w:rsid w:val="00527F46"/>
    <w:rsid w:val="0053060B"/>
    <w:rsid w:val="00531A18"/>
    <w:rsid w:val="00531B99"/>
    <w:rsid w:val="005331CE"/>
    <w:rsid w:val="00533244"/>
    <w:rsid w:val="005332DC"/>
    <w:rsid w:val="00533D64"/>
    <w:rsid w:val="0054076F"/>
    <w:rsid w:val="005421E7"/>
    <w:rsid w:val="005472BD"/>
    <w:rsid w:val="0056151C"/>
    <w:rsid w:val="00564087"/>
    <w:rsid w:val="00570626"/>
    <w:rsid w:val="00570D85"/>
    <w:rsid w:val="00573940"/>
    <w:rsid w:val="00574FE9"/>
    <w:rsid w:val="0057680B"/>
    <w:rsid w:val="00583016"/>
    <w:rsid w:val="005833EF"/>
    <w:rsid w:val="0058349B"/>
    <w:rsid w:val="00587081"/>
    <w:rsid w:val="005879D5"/>
    <w:rsid w:val="00592431"/>
    <w:rsid w:val="005A0F21"/>
    <w:rsid w:val="005A2354"/>
    <w:rsid w:val="005A23E6"/>
    <w:rsid w:val="005A29B6"/>
    <w:rsid w:val="005A3EE2"/>
    <w:rsid w:val="005A5E9C"/>
    <w:rsid w:val="005B3BC8"/>
    <w:rsid w:val="005C62FC"/>
    <w:rsid w:val="005D3B14"/>
    <w:rsid w:val="005D4A66"/>
    <w:rsid w:val="005D4E6E"/>
    <w:rsid w:val="005E2397"/>
    <w:rsid w:val="005E57C4"/>
    <w:rsid w:val="005E5868"/>
    <w:rsid w:val="005E7A59"/>
    <w:rsid w:val="005F3B88"/>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4646A"/>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16ED"/>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D281C"/>
    <w:rsid w:val="006D7E6E"/>
    <w:rsid w:val="006D7ED7"/>
    <w:rsid w:val="006E3BCE"/>
    <w:rsid w:val="006E6246"/>
    <w:rsid w:val="006E755D"/>
    <w:rsid w:val="006F3BFC"/>
    <w:rsid w:val="006F4793"/>
    <w:rsid w:val="006F6938"/>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2A7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415"/>
    <w:rsid w:val="007E6B92"/>
    <w:rsid w:val="007E6CC4"/>
    <w:rsid w:val="007E79EF"/>
    <w:rsid w:val="007F4654"/>
    <w:rsid w:val="008005E3"/>
    <w:rsid w:val="00801493"/>
    <w:rsid w:val="008016AE"/>
    <w:rsid w:val="00805161"/>
    <w:rsid w:val="00805AD4"/>
    <w:rsid w:val="0080727B"/>
    <w:rsid w:val="008114BC"/>
    <w:rsid w:val="0081193E"/>
    <w:rsid w:val="008144C2"/>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C08"/>
    <w:rsid w:val="00862F1D"/>
    <w:rsid w:val="008663EB"/>
    <w:rsid w:val="00873851"/>
    <w:rsid w:val="00875F2C"/>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D3408"/>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0C4E"/>
    <w:rsid w:val="009317ED"/>
    <w:rsid w:val="0094338A"/>
    <w:rsid w:val="00950031"/>
    <w:rsid w:val="009508CE"/>
    <w:rsid w:val="00953D66"/>
    <w:rsid w:val="0095431D"/>
    <w:rsid w:val="009557BE"/>
    <w:rsid w:val="0095698F"/>
    <w:rsid w:val="009677D0"/>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E1F"/>
    <w:rsid w:val="00A02F98"/>
    <w:rsid w:val="00A03259"/>
    <w:rsid w:val="00A06238"/>
    <w:rsid w:val="00A06D8F"/>
    <w:rsid w:val="00A11B02"/>
    <w:rsid w:val="00A1278E"/>
    <w:rsid w:val="00A15A07"/>
    <w:rsid w:val="00A25AAF"/>
    <w:rsid w:val="00A3249D"/>
    <w:rsid w:val="00A35031"/>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E31AA"/>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3782F"/>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469CC"/>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2A4"/>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07E9"/>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56DDE"/>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9FF"/>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16FDA"/>
    <w:rsid w:val="00E21B9D"/>
    <w:rsid w:val="00E23566"/>
    <w:rsid w:val="00E2553D"/>
    <w:rsid w:val="00E264BA"/>
    <w:rsid w:val="00E26A41"/>
    <w:rsid w:val="00E313A5"/>
    <w:rsid w:val="00E32563"/>
    <w:rsid w:val="00E32572"/>
    <w:rsid w:val="00E3441E"/>
    <w:rsid w:val="00E36585"/>
    <w:rsid w:val="00E3735C"/>
    <w:rsid w:val="00E378BD"/>
    <w:rsid w:val="00E37B51"/>
    <w:rsid w:val="00E419C7"/>
    <w:rsid w:val="00E42599"/>
    <w:rsid w:val="00E44BDF"/>
    <w:rsid w:val="00E452DB"/>
    <w:rsid w:val="00E46F07"/>
    <w:rsid w:val="00E55592"/>
    <w:rsid w:val="00E56E2A"/>
    <w:rsid w:val="00E57362"/>
    <w:rsid w:val="00E57415"/>
    <w:rsid w:val="00E607BB"/>
    <w:rsid w:val="00E62B6E"/>
    <w:rsid w:val="00E636C3"/>
    <w:rsid w:val="00E83560"/>
    <w:rsid w:val="00E8638D"/>
    <w:rsid w:val="00E865C9"/>
    <w:rsid w:val="00E925FD"/>
    <w:rsid w:val="00E95839"/>
    <w:rsid w:val="00E9590E"/>
    <w:rsid w:val="00E95CD9"/>
    <w:rsid w:val="00E9614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25"/>
    <w:rsid w:val="00ED7BAC"/>
    <w:rsid w:val="00EE0261"/>
    <w:rsid w:val="00EE25E1"/>
    <w:rsid w:val="00EE3FF7"/>
    <w:rsid w:val="00EE4D4B"/>
    <w:rsid w:val="00EE522D"/>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46E48"/>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DD6A7B"/>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Tun">
    <w:name w:val="_Tučně"/>
    <w:basedOn w:val="Standardnpsmoodstavce"/>
    <w:qFormat/>
    <w:rsid w:val="0064646A"/>
    <w:rPr>
      <w:b/>
    </w:rPr>
  </w:style>
  <w:style w:type="paragraph" w:customStyle="1" w:styleId="Textbezodsazen">
    <w:name w:val="_Text_bez_odsazení"/>
    <w:basedOn w:val="Normln"/>
    <w:link w:val="TextbezodsazenChar"/>
    <w:qFormat/>
    <w:rsid w:val="0064646A"/>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64646A"/>
    <w:rPr>
      <w:rFonts w:ascii="Verdana" w:eastAsiaTheme="minorHAnsi" w:hAnsi="Verdana" w:cstheme="minorBidi"/>
      <w:sz w:val="18"/>
      <w:szCs w:val="18"/>
      <w:lang w:eastAsia="en-US"/>
    </w:rPr>
  </w:style>
  <w:style w:type="table" w:customStyle="1" w:styleId="Tabulka1">
    <w:name w:val="_Tabulka_1"/>
    <w:basedOn w:val="Mkatabulky"/>
    <w:uiPriority w:val="99"/>
    <w:rsid w:val="00ED7B25"/>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Textbezodsazen"/>
    <w:qFormat/>
    <w:rsid w:val="00ED7B25"/>
    <w:pPr>
      <w:spacing w:before="40" w:after="40" w:line="240" w:lineRule="auto"/>
      <w:jc w:val="left"/>
    </w:pPr>
  </w:style>
  <w:style w:type="table" w:styleId="Mkatabulky">
    <w:name w:val="Table Grid"/>
    <w:basedOn w:val="Normlntabulka"/>
    <w:uiPriority w:val="59"/>
    <w:rsid w:val="00ED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ezsl1-1">
    <w:name w:val="_Nadpis_bez_čísl_1-1"/>
    <w:next w:val="Normln"/>
    <w:qFormat/>
    <w:rsid w:val="00ED7B25"/>
    <w:pPr>
      <w:keepNext/>
      <w:spacing w:before="280" w:after="120" w:line="264" w:lineRule="auto"/>
    </w:pPr>
    <w:rPr>
      <w:rFonts w:ascii="Verdana" w:eastAsiaTheme="minorHAnsi" w:hAnsi="Verdana" w:cstheme="minorBidi"/>
      <w:b/>
      <w:caps/>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E5C47-FE18-4798-B21F-3E1F5A84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8149</Words>
  <Characters>48082</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7</cp:revision>
  <cp:lastPrinted>2019-05-15T11:03:00Z</cp:lastPrinted>
  <dcterms:created xsi:type="dcterms:W3CDTF">2021-09-29T07:22:00Z</dcterms:created>
  <dcterms:modified xsi:type="dcterms:W3CDTF">2021-10-04T05:18:00Z</dcterms:modified>
</cp:coreProperties>
</file>